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6E1F" w:rsidRPr="00AE2201" w:rsidRDefault="00A46E1F" w:rsidP="00A46E1F">
      <w:pPr>
        <w:spacing w:before="240" w:after="240" w:line="360" w:lineRule="auto"/>
        <w:jc w:val="both"/>
        <w:rPr>
          <w:rFonts w:ascii="Palatino Linotype" w:hAnsi="Palatino Linotype"/>
        </w:rPr>
      </w:pPr>
      <w:r w:rsidRPr="00AE2201">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A1327C">
        <w:rPr>
          <w:rFonts w:ascii="Palatino Linotype" w:hAnsi="Palatino Linotype"/>
        </w:rPr>
        <w:t>seis</w:t>
      </w:r>
      <w:r w:rsidRPr="00AE2201">
        <w:rPr>
          <w:rFonts w:ascii="Palatino Linotype" w:hAnsi="Palatino Linotype"/>
        </w:rPr>
        <w:t xml:space="preserve"> de diciembre de dos mil dieciocho</w:t>
      </w:r>
    </w:p>
    <w:p w:rsidR="00A46E1F" w:rsidRPr="00AE2201" w:rsidRDefault="00A46E1F" w:rsidP="00A46E1F">
      <w:pPr>
        <w:spacing w:before="240" w:after="240" w:line="360" w:lineRule="auto"/>
        <w:jc w:val="both"/>
        <w:rPr>
          <w:rFonts w:ascii="Palatino Linotype" w:hAnsi="Palatino Linotype"/>
        </w:rPr>
      </w:pPr>
      <w:r w:rsidRPr="00AE2201">
        <w:rPr>
          <w:rFonts w:ascii="Palatino Linotype" w:hAnsi="Palatino Linotype"/>
        </w:rPr>
        <w:t xml:space="preserve">VISTOS los expedientes formados con motivo de los recursos de revisión acumulados </w:t>
      </w:r>
      <w:r w:rsidRPr="00AE2201">
        <w:rPr>
          <w:rFonts w:ascii="Palatino Linotype" w:hAnsi="Palatino Linotype"/>
          <w:b/>
          <w:spacing w:val="-20"/>
        </w:rPr>
        <w:t>03527</w:t>
      </w:r>
      <w:r w:rsidRPr="00AE2201">
        <w:rPr>
          <w:rFonts w:ascii="Palatino Linotype" w:hAnsi="Palatino Linotype" w:cs="Arial"/>
          <w:b/>
          <w:bCs/>
          <w:spacing w:val="-20"/>
        </w:rPr>
        <w:t xml:space="preserve">/INFOEM/IP/RR/2018, </w:t>
      </w:r>
      <w:r w:rsidRPr="00AE2201">
        <w:rPr>
          <w:rFonts w:ascii="Palatino Linotype" w:hAnsi="Palatino Linotype"/>
          <w:b/>
          <w:spacing w:val="-20"/>
        </w:rPr>
        <w:t>03528</w:t>
      </w:r>
      <w:r w:rsidRPr="00AE2201">
        <w:rPr>
          <w:rFonts w:ascii="Palatino Linotype" w:hAnsi="Palatino Linotype" w:cs="Arial"/>
          <w:b/>
          <w:bCs/>
          <w:spacing w:val="-20"/>
        </w:rPr>
        <w:t xml:space="preserve">/INFOEM/IP/RR/2018, </w:t>
      </w:r>
      <w:r w:rsidRPr="00AE2201">
        <w:rPr>
          <w:rFonts w:ascii="Palatino Linotype" w:hAnsi="Palatino Linotype"/>
          <w:b/>
          <w:spacing w:val="-20"/>
        </w:rPr>
        <w:t>03529</w:t>
      </w:r>
      <w:r w:rsidRPr="00AE2201">
        <w:rPr>
          <w:rFonts w:ascii="Palatino Linotype" w:hAnsi="Palatino Linotype" w:cs="Arial"/>
          <w:b/>
          <w:bCs/>
          <w:spacing w:val="-20"/>
        </w:rPr>
        <w:t xml:space="preserve">/INFOEM/IP/RR/2018, </w:t>
      </w:r>
      <w:r w:rsidRPr="00AE2201">
        <w:rPr>
          <w:rFonts w:ascii="Palatino Linotype" w:hAnsi="Palatino Linotype"/>
          <w:b/>
          <w:spacing w:val="-20"/>
        </w:rPr>
        <w:t>03530</w:t>
      </w:r>
      <w:r w:rsidRPr="00AE2201">
        <w:rPr>
          <w:rFonts w:ascii="Palatino Linotype" w:hAnsi="Palatino Linotype" w:cs="Arial"/>
          <w:b/>
          <w:bCs/>
          <w:spacing w:val="-20"/>
        </w:rPr>
        <w:t xml:space="preserve">/INFOEM/IP/RR/2018, </w:t>
      </w:r>
      <w:r w:rsidRPr="00AE2201">
        <w:rPr>
          <w:rFonts w:ascii="Palatino Linotype" w:hAnsi="Palatino Linotype"/>
          <w:b/>
          <w:spacing w:val="-20"/>
        </w:rPr>
        <w:t>03652/</w:t>
      </w:r>
      <w:r w:rsidRPr="00AE2201">
        <w:rPr>
          <w:rFonts w:ascii="Palatino Linotype" w:hAnsi="Palatino Linotype" w:cs="Arial"/>
          <w:b/>
          <w:bCs/>
          <w:spacing w:val="-20"/>
        </w:rPr>
        <w:t xml:space="preserve">INFOEM/IP/RR/2018, </w:t>
      </w:r>
      <w:r w:rsidRPr="00AE2201">
        <w:rPr>
          <w:rFonts w:ascii="Palatino Linotype" w:hAnsi="Palatino Linotype"/>
          <w:b/>
          <w:spacing w:val="-20"/>
        </w:rPr>
        <w:t>03653</w:t>
      </w:r>
      <w:r w:rsidRPr="00AE2201">
        <w:rPr>
          <w:rFonts w:ascii="Palatino Linotype" w:hAnsi="Palatino Linotype" w:cs="Arial"/>
          <w:b/>
          <w:bCs/>
          <w:spacing w:val="-20"/>
        </w:rPr>
        <w:t>/INFOEM/IP/RR/2018</w:t>
      </w:r>
      <w:r w:rsidRPr="00AE2201">
        <w:rPr>
          <w:rFonts w:ascii="Palatino Linotype" w:hAnsi="Palatino Linotype"/>
        </w:rPr>
        <w:t xml:space="preserve">, </w:t>
      </w:r>
      <w:r w:rsidRPr="00AE2201">
        <w:rPr>
          <w:rFonts w:ascii="Palatino Linotype" w:hAnsi="Palatino Linotype"/>
          <w:b/>
          <w:spacing w:val="-20"/>
        </w:rPr>
        <w:t>03654</w:t>
      </w:r>
      <w:r w:rsidRPr="00AE2201">
        <w:rPr>
          <w:rFonts w:ascii="Palatino Linotype" w:hAnsi="Palatino Linotype" w:cs="Arial"/>
          <w:b/>
          <w:bCs/>
          <w:spacing w:val="-20"/>
        </w:rPr>
        <w:t xml:space="preserve">/INFOEM/IP/RR/2018, </w:t>
      </w:r>
      <w:r w:rsidRPr="00AE2201">
        <w:rPr>
          <w:rFonts w:ascii="Palatino Linotype" w:hAnsi="Palatino Linotype" w:cs="Arial"/>
          <w:bCs/>
          <w:spacing w:val="-20"/>
        </w:rPr>
        <w:t>y</w:t>
      </w:r>
      <w:r w:rsidRPr="00AE2201">
        <w:rPr>
          <w:rFonts w:ascii="Palatino Linotype" w:hAnsi="Palatino Linotype" w:cs="Arial"/>
          <w:b/>
          <w:bCs/>
          <w:spacing w:val="-20"/>
        </w:rPr>
        <w:t xml:space="preserve"> </w:t>
      </w:r>
      <w:r w:rsidRPr="00AE2201">
        <w:rPr>
          <w:rFonts w:ascii="Palatino Linotype" w:hAnsi="Palatino Linotype"/>
          <w:b/>
          <w:spacing w:val="-20"/>
        </w:rPr>
        <w:t>03655</w:t>
      </w:r>
      <w:r w:rsidRPr="00AE2201">
        <w:rPr>
          <w:rFonts w:ascii="Palatino Linotype" w:hAnsi="Palatino Linotype" w:cs="Arial"/>
          <w:b/>
          <w:bCs/>
          <w:spacing w:val="-20"/>
        </w:rPr>
        <w:t xml:space="preserve">/INFOEM/IP/RR/2018, </w:t>
      </w:r>
      <w:r w:rsidRPr="00AE2201">
        <w:rPr>
          <w:rFonts w:ascii="Palatino Linotype" w:hAnsi="Palatino Linotype"/>
        </w:rPr>
        <w:t xml:space="preserve">promovidos por el </w:t>
      </w:r>
      <w:r w:rsidRPr="00AE2201">
        <w:rPr>
          <w:rFonts w:ascii="Palatino Linotype" w:hAnsi="Palatino Linotype"/>
          <w:b/>
        </w:rPr>
        <w:t>C.</w:t>
      </w:r>
      <w:r w:rsidRPr="00AE2201">
        <w:rPr>
          <w:rFonts w:ascii="Palatino Linotype" w:hAnsi="Palatino Linotype"/>
        </w:rPr>
        <w:t xml:space="preserve"> </w:t>
      </w:r>
      <w:r w:rsidR="00C4320D" w:rsidRPr="00C4320D">
        <w:rPr>
          <w:rFonts w:ascii="Palatino Linotype" w:hAnsi="Palatino Linotype"/>
          <w:b/>
          <w:lang w:val="es-ES_tradnl"/>
        </w:rPr>
        <w:t>XXXXXXX XXXXX XXXXXXX</w:t>
      </w:r>
      <w:r w:rsidRPr="00AE2201">
        <w:rPr>
          <w:rFonts w:ascii="Palatino Linotype" w:hAnsi="Palatino Linotype"/>
        </w:rPr>
        <w:t xml:space="preserve">, en lo sucesivo </w:t>
      </w:r>
      <w:r w:rsidRPr="00AE2201">
        <w:rPr>
          <w:rFonts w:ascii="Palatino Linotype" w:hAnsi="Palatino Linotype"/>
          <w:b/>
        </w:rPr>
        <w:t>EL RECURRENTE,</w:t>
      </w:r>
      <w:r w:rsidRPr="00AE2201">
        <w:rPr>
          <w:rFonts w:ascii="Palatino Linotype" w:hAnsi="Palatino Linotype"/>
        </w:rPr>
        <w:t xml:space="preserve"> en contra de las respuestas emitidas por el </w:t>
      </w:r>
      <w:r w:rsidRPr="00AE2201">
        <w:rPr>
          <w:rFonts w:ascii="Palatino Linotype" w:hAnsi="Palatino Linotype"/>
          <w:b/>
        </w:rPr>
        <w:t>Instituto de Seguridad Social del Estado de México y Municipios</w:t>
      </w:r>
      <w:r w:rsidRPr="00AE2201">
        <w:rPr>
          <w:rFonts w:ascii="Palatino Linotype" w:hAnsi="Palatino Linotype"/>
        </w:rPr>
        <w:t xml:space="preserve">, en lo sucesivo </w:t>
      </w:r>
      <w:r w:rsidRPr="00AE2201">
        <w:rPr>
          <w:rFonts w:ascii="Palatino Linotype" w:hAnsi="Palatino Linotype"/>
          <w:b/>
        </w:rPr>
        <w:t>EL SUJETO OBLIGADO</w:t>
      </w:r>
      <w:r w:rsidRPr="00AE2201">
        <w:rPr>
          <w:rFonts w:ascii="Palatino Linotype" w:hAnsi="Palatino Linotype"/>
        </w:rPr>
        <w:t xml:space="preserve">, se procede a dictar la presente resolución con base en lo siguiente: </w:t>
      </w:r>
    </w:p>
    <w:p w:rsidR="00A46E1F" w:rsidRPr="00AE2201" w:rsidRDefault="00A46E1F" w:rsidP="00A46E1F">
      <w:pPr>
        <w:spacing w:before="240" w:after="240" w:line="360" w:lineRule="auto"/>
        <w:jc w:val="center"/>
        <w:rPr>
          <w:rFonts w:ascii="Palatino Linotype" w:hAnsi="Palatino Linotype"/>
          <w:b/>
          <w:bCs/>
          <w:spacing w:val="60"/>
          <w:sz w:val="28"/>
          <w:szCs w:val="28"/>
          <w:lang w:val="es-ES_tradnl"/>
        </w:rPr>
      </w:pPr>
      <w:r w:rsidRPr="00AE2201">
        <w:rPr>
          <w:rFonts w:ascii="Palatino Linotype" w:hAnsi="Palatino Linotype"/>
          <w:b/>
          <w:bCs/>
          <w:spacing w:val="60"/>
          <w:sz w:val="28"/>
          <w:szCs w:val="28"/>
          <w:lang w:val="es-ES_tradnl"/>
        </w:rPr>
        <w:t>RESULTANDO</w:t>
      </w:r>
    </w:p>
    <w:p w:rsidR="00A46E1F" w:rsidRPr="00AE2201" w:rsidRDefault="00A46E1F" w:rsidP="00A46E1F">
      <w:pPr>
        <w:pStyle w:val="Prrafodelista"/>
        <w:spacing w:before="240" w:after="240" w:line="360" w:lineRule="auto"/>
        <w:ind w:left="0"/>
        <w:contextualSpacing w:val="0"/>
        <w:jc w:val="both"/>
        <w:rPr>
          <w:rFonts w:ascii="Palatino Linotype" w:hAnsi="Palatino Linotype" w:cs="Arial"/>
        </w:rPr>
      </w:pPr>
      <w:r w:rsidRPr="00AE2201">
        <w:rPr>
          <w:rFonts w:ascii="Palatino Linotype" w:hAnsi="Palatino Linotype"/>
          <w:b/>
          <w:sz w:val="28"/>
          <w:szCs w:val="28"/>
        </w:rPr>
        <w:t>I.</w:t>
      </w:r>
      <w:r w:rsidRPr="00AE2201">
        <w:rPr>
          <w:rFonts w:ascii="Palatino Linotype" w:hAnsi="Palatino Linotype"/>
        </w:rPr>
        <w:t xml:space="preserve"> En fechas veintisiete de agosto y tres de septiembre de dos mil dieciocho, </w:t>
      </w:r>
      <w:r w:rsidRPr="00AE2201">
        <w:rPr>
          <w:rFonts w:ascii="Palatino Linotype" w:hAnsi="Palatino Linotype"/>
          <w:b/>
        </w:rPr>
        <w:t>EL RECURRENTE</w:t>
      </w:r>
      <w:r w:rsidRPr="00AE2201">
        <w:rPr>
          <w:rFonts w:ascii="Palatino Linotype" w:hAnsi="Palatino Linotype"/>
        </w:rPr>
        <w:t xml:space="preserve"> presentó a través del Sistema de Acceso a la Información Mexiquense, en lo subsecuente </w:t>
      </w:r>
      <w:r w:rsidRPr="00AE2201">
        <w:rPr>
          <w:rFonts w:ascii="Palatino Linotype" w:hAnsi="Palatino Linotype"/>
          <w:b/>
        </w:rPr>
        <w:t>EL SAIMEX</w:t>
      </w:r>
      <w:r w:rsidRPr="00AE2201">
        <w:rPr>
          <w:rFonts w:ascii="Palatino Linotype" w:hAnsi="Palatino Linotype"/>
        </w:rPr>
        <w:t xml:space="preserve"> ante </w:t>
      </w:r>
      <w:r w:rsidRPr="00AE2201">
        <w:rPr>
          <w:rFonts w:ascii="Palatino Linotype" w:hAnsi="Palatino Linotype"/>
          <w:b/>
        </w:rPr>
        <w:t>EL SUJETO OBLIGADO</w:t>
      </w:r>
      <w:r w:rsidRPr="00AE2201">
        <w:rPr>
          <w:rFonts w:ascii="Palatino Linotype" w:hAnsi="Palatino Linotype"/>
        </w:rPr>
        <w:t xml:space="preserve">, las solicitudes de información pública, </w:t>
      </w:r>
      <w:r w:rsidRPr="00AE2201">
        <w:rPr>
          <w:rFonts w:ascii="Palatino Linotype" w:hAnsi="Palatino Linotype" w:cs="Arial"/>
        </w:rPr>
        <w:t xml:space="preserve">a las que se les asignaron los números de expedientes </w:t>
      </w:r>
      <w:r w:rsidRPr="00AE2201">
        <w:rPr>
          <w:rFonts w:ascii="Palatino Linotype" w:hAnsi="Palatino Linotype" w:cs="Arial"/>
          <w:b/>
          <w:bCs/>
          <w:spacing w:val="-20"/>
        </w:rPr>
        <w:t xml:space="preserve">00486/ISSEMYM/IP/2018, 00487/ISSEMYM/IP/2018, 00488/ISSEMYM/IP/2018, 00489/ISSEMYM/IP/2018, 00504/ISSEMYM/IP/2018, 00501/ISSEMYM/IP/2018, 00502/ISSEMYM/IP/2018, </w:t>
      </w:r>
      <w:r w:rsidRPr="00AE2201">
        <w:rPr>
          <w:rFonts w:ascii="Palatino Linotype" w:hAnsi="Palatino Linotype" w:cs="Arial"/>
          <w:bCs/>
          <w:spacing w:val="-20"/>
        </w:rPr>
        <w:t>y</w:t>
      </w:r>
      <w:r w:rsidRPr="00AE2201">
        <w:rPr>
          <w:rFonts w:ascii="Palatino Linotype" w:hAnsi="Palatino Linotype" w:cs="Arial"/>
          <w:b/>
          <w:bCs/>
          <w:spacing w:val="-20"/>
        </w:rPr>
        <w:t xml:space="preserve"> 00503/ISSEMYM/IP/2018</w:t>
      </w:r>
      <w:r w:rsidRPr="00AE2201">
        <w:rPr>
          <w:rFonts w:ascii="Palatino Linotype" w:hAnsi="Palatino Linotype" w:cs="Arial"/>
          <w:b/>
          <w:bCs/>
        </w:rPr>
        <w:t xml:space="preserve">, </w:t>
      </w:r>
      <w:r w:rsidRPr="00AE2201">
        <w:rPr>
          <w:rFonts w:ascii="Palatino Linotype" w:hAnsi="Palatino Linotype" w:cs="Arial"/>
        </w:rPr>
        <w:t xml:space="preserve">respectivamente, mediante las cuales requirió: </w:t>
      </w:r>
    </w:p>
    <w:p w:rsidR="00A46E1F" w:rsidRPr="00A1327C" w:rsidRDefault="00A46E1F" w:rsidP="00A46E1F">
      <w:pPr>
        <w:pStyle w:val="Prrafodelista"/>
        <w:ind w:left="851" w:right="899"/>
        <w:contextualSpacing w:val="0"/>
        <w:jc w:val="both"/>
        <w:rPr>
          <w:rFonts w:ascii="Palatino Linotype" w:hAnsi="Palatino Linotype" w:cs="Arial"/>
          <w:b/>
          <w:bCs/>
          <w:spacing w:val="-20"/>
          <w:lang w:val="en-US"/>
        </w:rPr>
      </w:pPr>
      <w:r w:rsidRPr="00A1327C">
        <w:rPr>
          <w:rFonts w:ascii="Palatino Linotype" w:hAnsi="Palatino Linotype" w:cs="Arial"/>
          <w:b/>
          <w:bCs/>
          <w:spacing w:val="-20"/>
          <w:lang w:val="en-US"/>
        </w:rPr>
        <w:lastRenderedPageBreak/>
        <w:t xml:space="preserve">00486/ISSEMYM/IP/2018  </w:t>
      </w:r>
      <w:r w:rsidRPr="00A1327C">
        <w:rPr>
          <w:rFonts w:ascii="Palatino Linotype" w:hAnsi="Palatino Linotype" w:cs="Arial"/>
          <w:b/>
          <w:bCs/>
          <w:lang w:val="en-US"/>
        </w:rPr>
        <w:t>- 03527/INFOEM/IP/RR/2018</w:t>
      </w:r>
    </w:p>
    <w:p w:rsidR="00A46E1F" w:rsidRPr="00AE2201" w:rsidRDefault="00A46E1F" w:rsidP="00A46E1F">
      <w:pPr>
        <w:pStyle w:val="Prrafodelista"/>
        <w:ind w:left="851" w:right="899"/>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“requerimientos de pago que entregó el ISSEMYM a la Universidad Autónoma del Estado de México en el año 2015. se adjunta un requerimiento para que sepan que es lo que se pide.” (Sic)</w:t>
      </w:r>
    </w:p>
    <w:p w:rsidR="00A46E1F" w:rsidRPr="00AE2201" w:rsidRDefault="00A46E1F" w:rsidP="00A46E1F">
      <w:pPr>
        <w:pStyle w:val="Prrafodelista"/>
        <w:ind w:left="851" w:right="899"/>
        <w:contextualSpacing w:val="0"/>
        <w:jc w:val="both"/>
        <w:rPr>
          <w:rFonts w:ascii="Palatino Linotype" w:hAnsi="Palatino Linotype" w:cs="Arial"/>
          <w:b/>
          <w:bCs/>
          <w:spacing w:val="-20"/>
        </w:rPr>
      </w:pPr>
      <w:r w:rsidRPr="00AE2201">
        <w:rPr>
          <w:rFonts w:ascii="Palatino Linotype" w:hAnsi="Palatino Linotype" w:cs="Arial"/>
          <w:b/>
          <w:bCs/>
          <w:spacing w:val="-20"/>
        </w:rPr>
        <w:t xml:space="preserve">00487/ISSEMYM/IP/2018  </w:t>
      </w:r>
      <w:r w:rsidRPr="00AE2201">
        <w:rPr>
          <w:rFonts w:ascii="Palatino Linotype" w:hAnsi="Palatino Linotype" w:cs="Arial"/>
          <w:b/>
          <w:bCs/>
        </w:rPr>
        <w:t>- 03528/INFOEM/IP/RR/2018</w:t>
      </w:r>
    </w:p>
    <w:p w:rsidR="00A46E1F" w:rsidRPr="00AE2201" w:rsidRDefault="00A46E1F" w:rsidP="00A46E1F">
      <w:pPr>
        <w:pStyle w:val="Prrafodelista"/>
        <w:ind w:left="851" w:right="899"/>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“requerimientos de pago que entregó el ISSEMYM a la Universidad Autónoma del Estado de México en el año 2016. se adjuntan algunos requerimientos de otras fechas para que sepan que es lo que se pide.” (Sic)</w:t>
      </w:r>
    </w:p>
    <w:p w:rsidR="00A46E1F" w:rsidRPr="00AE2201" w:rsidRDefault="00A46E1F" w:rsidP="00A46E1F">
      <w:pPr>
        <w:pStyle w:val="Prrafodelista"/>
        <w:ind w:left="851" w:right="899"/>
        <w:contextualSpacing w:val="0"/>
        <w:jc w:val="both"/>
        <w:rPr>
          <w:rFonts w:ascii="Palatino Linotype" w:hAnsi="Palatino Linotype" w:cs="Arial"/>
          <w:b/>
          <w:bCs/>
          <w:spacing w:val="-20"/>
        </w:rPr>
      </w:pPr>
      <w:r w:rsidRPr="00AE2201">
        <w:rPr>
          <w:rFonts w:ascii="Palatino Linotype" w:hAnsi="Palatino Linotype" w:cs="Arial"/>
          <w:b/>
          <w:bCs/>
          <w:spacing w:val="-20"/>
        </w:rPr>
        <w:t xml:space="preserve">00488/ISSEMYM/IP/2018  </w:t>
      </w:r>
      <w:r w:rsidRPr="00AE2201">
        <w:rPr>
          <w:rFonts w:ascii="Palatino Linotype" w:hAnsi="Palatino Linotype" w:cs="Arial"/>
          <w:b/>
          <w:bCs/>
        </w:rPr>
        <w:t>- 03529/INFOEM/IP/RR/2018</w:t>
      </w:r>
    </w:p>
    <w:p w:rsidR="00A46E1F" w:rsidRPr="00AE2201" w:rsidRDefault="00A46E1F" w:rsidP="00A46E1F">
      <w:pPr>
        <w:pStyle w:val="Prrafodelista"/>
        <w:ind w:left="851" w:right="899"/>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“requerimientos de pago que entregó el ISSEMYM a la Universidad Autónoma del Estado de México en el año 2017. se adjuntan algunos requerimientos de otras fechas para que sepan que es lo que se pide.” (Sic)</w:t>
      </w:r>
    </w:p>
    <w:p w:rsidR="00A46E1F" w:rsidRPr="00AE2201" w:rsidRDefault="00A46E1F" w:rsidP="00A46E1F">
      <w:pPr>
        <w:pStyle w:val="Prrafodelista"/>
        <w:ind w:left="851" w:right="899"/>
        <w:contextualSpacing w:val="0"/>
        <w:jc w:val="both"/>
        <w:rPr>
          <w:rFonts w:ascii="Palatino Linotype" w:hAnsi="Palatino Linotype" w:cs="Arial"/>
          <w:b/>
          <w:bCs/>
          <w:spacing w:val="-20"/>
        </w:rPr>
      </w:pPr>
      <w:r w:rsidRPr="00AE2201">
        <w:rPr>
          <w:rFonts w:ascii="Palatino Linotype" w:hAnsi="Palatino Linotype" w:cs="Arial"/>
          <w:b/>
          <w:bCs/>
          <w:spacing w:val="-20"/>
        </w:rPr>
        <w:t xml:space="preserve">00489/ISSEMYM/IP/2018  </w:t>
      </w:r>
      <w:r w:rsidRPr="00AE2201">
        <w:rPr>
          <w:rFonts w:ascii="Palatino Linotype" w:hAnsi="Palatino Linotype" w:cs="Arial"/>
          <w:b/>
          <w:bCs/>
        </w:rPr>
        <w:t>- 03530/INFOEM/IP/RR/2018</w:t>
      </w:r>
    </w:p>
    <w:p w:rsidR="00A46E1F" w:rsidRPr="00AE2201" w:rsidRDefault="00A46E1F" w:rsidP="00A46E1F">
      <w:pPr>
        <w:pStyle w:val="Prrafodelista"/>
        <w:ind w:left="851" w:right="899"/>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“requerimientos de pago que entregó el ISSEMYM a la Universidad Autónoma del Estado de México en el año 2018. se adjuntan algunos requerimientos de otras fechas para que sepan que es lo que se pide.” (Sic)</w:t>
      </w:r>
    </w:p>
    <w:p w:rsidR="00A46E1F" w:rsidRPr="00AE2201" w:rsidRDefault="00A46E1F" w:rsidP="00A46E1F">
      <w:pPr>
        <w:pStyle w:val="Prrafodelista"/>
        <w:ind w:left="851" w:right="899"/>
        <w:contextualSpacing w:val="0"/>
        <w:jc w:val="both"/>
        <w:rPr>
          <w:rFonts w:ascii="Palatino Linotype" w:hAnsi="Palatino Linotype" w:cs="Arial"/>
          <w:b/>
          <w:bCs/>
        </w:rPr>
      </w:pPr>
      <w:r w:rsidRPr="00AE2201">
        <w:rPr>
          <w:rFonts w:ascii="Palatino Linotype" w:hAnsi="Palatino Linotype" w:cs="Arial"/>
          <w:b/>
          <w:bCs/>
          <w:spacing w:val="-20"/>
        </w:rPr>
        <w:t xml:space="preserve">00504/ISSEMYM/IP/2018  </w:t>
      </w:r>
      <w:r w:rsidRPr="00AE2201">
        <w:rPr>
          <w:rFonts w:ascii="Palatino Linotype" w:hAnsi="Palatino Linotype" w:cs="Arial"/>
          <w:b/>
          <w:bCs/>
        </w:rPr>
        <w:t>- 03652/INFOEM/IP/RR/2018</w:t>
      </w:r>
    </w:p>
    <w:p w:rsidR="00A46E1F" w:rsidRPr="00AE2201" w:rsidRDefault="00A46E1F" w:rsidP="00A46E1F">
      <w:pPr>
        <w:pStyle w:val="Prrafodelista"/>
        <w:ind w:left="851" w:right="899"/>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“Requerimientos de pago que el ISSEMYM entregó a la UAEM desde el mes de agosto hasta el mes de diciembre del año 2016. “ (Sic)</w:t>
      </w:r>
    </w:p>
    <w:p w:rsidR="00A46E1F" w:rsidRPr="00AE2201" w:rsidRDefault="00A46E1F" w:rsidP="00A46E1F">
      <w:pPr>
        <w:pStyle w:val="Prrafodelista"/>
        <w:ind w:left="851" w:right="899"/>
        <w:contextualSpacing w:val="0"/>
        <w:jc w:val="both"/>
        <w:rPr>
          <w:rFonts w:ascii="Palatino Linotype" w:hAnsi="Palatino Linotype" w:cs="Arial"/>
          <w:b/>
          <w:bCs/>
        </w:rPr>
      </w:pPr>
      <w:r w:rsidRPr="00AE2201">
        <w:rPr>
          <w:rFonts w:ascii="Palatino Linotype" w:hAnsi="Palatino Linotype" w:cs="Arial"/>
          <w:b/>
          <w:bCs/>
          <w:spacing w:val="-20"/>
        </w:rPr>
        <w:t xml:space="preserve">00501/ISSEMYM/IP/2018  </w:t>
      </w:r>
      <w:r w:rsidRPr="00AE2201">
        <w:rPr>
          <w:rFonts w:ascii="Palatino Linotype" w:hAnsi="Palatino Linotype" w:cs="Arial"/>
          <w:b/>
          <w:bCs/>
        </w:rPr>
        <w:t>- 03653/INFOEM/IP/RR/2018</w:t>
      </w:r>
    </w:p>
    <w:p w:rsidR="00A46E1F" w:rsidRPr="00AE2201" w:rsidRDefault="00A46E1F" w:rsidP="00A46E1F">
      <w:pPr>
        <w:pStyle w:val="Prrafodelista"/>
        <w:ind w:left="851" w:right="899"/>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“Requerimientos de pago que el ISSEMYM entregó a la UAEM desde enero del 2017 hasta junio del 2017.” (Sic)</w:t>
      </w:r>
    </w:p>
    <w:p w:rsidR="00A46E1F" w:rsidRPr="00AE2201" w:rsidRDefault="00A46E1F" w:rsidP="00A46E1F">
      <w:pPr>
        <w:pStyle w:val="Prrafodelista"/>
        <w:ind w:left="851" w:right="899"/>
        <w:contextualSpacing w:val="0"/>
        <w:jc w:val="both"/>
        <w:rPr>
          <w:rFonts w:ascii="Palatino Linotype" w:hAnsi="Palatino Linotype" w:cs="Arial"/>
          <w:b/>
          <w:bCs/>
        </w:rPr>
      </w:pPr>
      <w:r w:rsidRPr="00AE2201">
        <w:rPr>
          <w:rFonts w:ascii="Palatino Linotype" w:hAnsi="Palatino Linotype" w:cs="Arial"/>
          <w:b/>
          <w:bCs/>
          <w:spacing w:val="-20"/>
        </w:rPr>
        <w:t xml:space="preserve">00502/ISSEMYM/IP/2018  </w:t>
      </w:r>
      <w:r w:rsidRPr="00AE2201">
        <w:rPr>
          <w:rFonts w:ascii="Palatino Linotype" w:hAnsi="Palatino Linotype" w:cs="Arial"/>
          <w:b/>
          <w:bCs/>
        </w:rPr>
        <w:t>- 03654/INFOEM/IP/RR/2018</w:t>
      </w:r>
    </w:p>
    <w:p w:rsidR="00A46E1F" w:rsidRPr="00AE2201" w:rsidRDefault="00A46E1F" w:rsidP="00A46E1F">
      <w:pPr>
        <w:pStyle w:val="Prrafodelista"/>
        <w:ind w:left="851" w:right="899"/>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“Requerimientos de pago que el ISSEMYM entregó a la UAEM desde el mes de julio hasta el mes de diciembre del año 2017.” (Sic)</w:t>
      </w:r>
    </w:p>
    <w:p w:rsidR="00A46E1F" w:rsidRPr="00AE2201" w:rsidRDefault="00A46E1F" w:rsidP="00A46E1F">
      <w:pPr>
        <w:pStyle w:val="Prrafodelista"/>
        <w:ind w:left="851" w:right="899"/>
        <w:contextualSpacing w:val="0"/>
        <w:jc w:val="both"/>
        <w:rPr>
          <w:rFonts w:ascii="Palatino Linotype" w:hAnsi="Palatino Linotype" w:cs="Arial"/>
          <w:b/>
          <w:bCs/>
        </w:rPr>
      </w:pPr>
      <w:r w:rsidRPr="00AE2201">
        <w:rPr>
          <w:rFonts w:ascii="Palatino Linotype" w:hAnsi="Palatino Linotype" w:cs="Arial"/>
          <w:b/>
          <w:bCs/>
          <w:spacing w:val="-20"/>
        </w:rPr>
        <w:t xml:space="preserve">00503/ISSEMYM/IP/2018  </w:t>
      </w:r>
      <w:r w:rsidRPr="00AE2201">
        <w:rPr>
          <w:rFonts w:ascii="Palatino Linotype" w:hAnsi="Palatino Linotype" w:cs="Arial"/>
          <w:b/>
          <w:bCs/>
        </w:rPr>
        <w:t>- 03655/INFOEM/IP/RR/2018</w:t>
      </w:r>
    </w:p>
    <w:p w:rsidR="00A46E1F" w:rsidRPr="00AE2201" w:rsidRDefault="00A46E1F" w:rsidP="00A46E1F">
      <w:pPr>
        <w:pStyle w:val="Prrafodelista"/>
        <w:ind w:left="851" w:right="899"/>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“Requerimientos de pago que el ISSEMYM entregó a la UAEM desde el mes de enero hasta el mes de junio del año 2018.” (Sic)</w:t>
      </w:r>
    </w:p>
    <w:p w:rsidR="00A46E1F" w:rsidRPr="00AE2201" w:rsidRDefault="00A46E1F" w:rsidP="00A46E1F">
      <w:pPr>
        <w:spacing w:before="100" w:beforeAutospacing="1" w:after="100" w:afterAutospacing="1" w:line="360" w:lineRule="auto"/>
        <w:ind w:right="51"/>
        <w:jc w:val="both"/>
        <w:rPr>
          <w:rFonts w:ascii="Palatino Linotype" w:hAnsi="Palatino Linotype"/>
        </w:rPr>
      </w:pPr>
      <w:r w:rsidRPr="00AE2201">
        <w:rPr>
          <w:rFonts w:ascii="Palatino Linotype" w:hAnsi="Palatino Linotype"/>
          <w:lang w:val="es-ES" w:eastAsia="es-ES"/>
        </w:rPr>
        <w:t>Debiendo precisar que para el caso de las solicitudes identificadas con los números</w:t>
      </w:r>
      <w:r w:rsidRPr="00AE2201">
        <w:rPr>
          <w:rFonts w:ascii="Palatino Linotype" w:hAnsi="Palatino Linotype"/>
          <w:i/>
          <w:color w:val="000000"/>
          <w:sz w:val="22"/>
          <w:szCs w:val="22"/>
        </w:rPr>
        <w:t xml:space="preserve"> </w:t>
      </w:r>
      <w:r w:rsidRPr="00AE2201">
        <w:rPr>
          <w:rFonts w:ascii="Palatino Linotype" w:hAnsi="Palatino Linotype" w:cs="Arial"/>
          <w:b/>
          <w:bCs/>
          <w:spacing w:val="-20"/>
        </w:rPr>
        <w:t xml:space="preserve">00486/ISSEMYM/IP/2018, 00487/ISSEMYM/IP/2018, 00488/ISSEMYM/IP/2018, 00489/ISSEMYM/IP/2018, </w:t>
      </w:r>
      <w:r w:rsidRPr="00AE2201">
        <w:rPr>
          <w:rFonts w:ascii="Palatino Linotype" w:hAnsi="Palatino Linotype"/>
        </w:rPr>
        <w:t xml:space="preserve">el particular adjuntó el archivo electrónico denominado </w:t>
      </w:r>
      <w:r w:rsidRPr="00AE2201">
        <w:rPr>
          <w:rFonts w:ascii="Palatino Linotype" w:hAnsi="Palatino Linotype"/>
          <w:b/>
        </w:rPr>
        <w:t>“</w:t>
      </w:r>
      <w:hyperlink r:id="rId7" w:tgtFrame="_blank" w:history="1">
        <w:r w:rsidRPr="00AE2201">
          <w:rPr>
            <w:rFonts w:ascii="Palatino Linotype" w:hAnsi="Palatino Linotype"/>
            <w:b/>
          </w:rPr>
          <w:t xml:space="preserve">2015 </w:t>
        </w:r>
        <w:r w:rsidRPr="00AE2201">
          <w:rPr>
            <w:rFonts w:ascii="Palatino Linotype" w:hAnsi="Palatino Linotype"/>
            <w:b/>
          </w:rPr>
          <w:lastRenderedPageBreak/>
          <w:t>Requerimientos pago de junio a septiembre de 2015.pdf</w:t>
        </w:r>
      </w:hyperlink>
      <w:r w:rsidRPr="00AE2201">
        <w:rPr>
          <w:rFonts w:ascii="Palatino Linotype" w:hAnsi="Palatino Linotype"/>
          <w:b/>
        </w:rPr>
        <w:t xml:space="preserve">”, </w:t>
      </w:r>
      <w:r w:rsidRPr="00AE2201">
        <w:rPr>
          <w:rFonts w:ascii="Palatino Linotype" w:hAnsi="Palatino Linotype"/>
        </w:rPr>
        <w:t>del cual se omite su inserción en el presente apartado al ser de conocimiento de las partes.</w:t>
      </w:r>
    </w:p>
    <w:p w:rsidR="00A46E1F" w:rsidRPr="00AE2201" w:rsidRDefault="00A46E1F" w:rsidP="00A46E1F">
      <w:pPr>
        <w:spacing w:before="240" w:after="240" w:line="360" w:lineRule="auto"/>
        <w:jc w:val="both"/>
        <w:rPr>
          <w:rFonts w:ascii="Palatino Linotype" w:hAnsi="Palatino Linotype"/>
          <w:b/>
        </w:rPr>
      </w:pPr>
      <w:r w:rsidRPr="00AE2201">
        <w:rPr>
          <w:rFonts w:ascii="Palatino Linotype" w:hAnsi="Palatino Linotype"/>
          <w:b/>
        </w:rPr>
        <w:t>MODALIDAD DE ENTREGA:</w:t>
      </w:r>
      <w:r w:rsidRPr="00AE2201">
        <w:rPr>
          <w:rFonts w:ascii="Palatino Linotype" w:hAnsi="Palatino Linotype"/>
        </w:rPr>
        <w:t xml:space="preserve"> En todas las solicitudes, el particular señaló vía </w:t>
      </w:r>
      <w:r w:rsidRPr="00AE2201">
        <w:rPr>
          <w:rFonts w:ascii="Palatino Linotype" w:hAnsi="Palatino Linotype"/>
          <w:b/>
        </w:rPr>
        <w:t>SAIMEX.</w:t>
      </w:r>
    </w:p>
    <w:p w:rsidR="00A46E1F" w:rsidRPr="00AE2201" w:rsidRDefault="00A46E1F" w:rsidP="00A46E1F">
      <w:pPr>
        <w:pStyle w:val="Prrafodelista"/>
        <w:spacing w:before="240" w:after="240" w:line="360" w:lineRule="auto"/>
        <w:ind w:left="0" w:right="-93"/>
        <w:contextualSpacing w:val="0"/>
        <w:jc w:val="both"/>
        <w:rPr>
          <w:rFonts w:ascii="Palatino Linotype" w:hAnsi="Palatino Linotype"/>
        </w:rPr>
      </w:pPr>
      <w:r w:rsidRPr="00AE2201">
        <w:rPr>
          <w:rFonts w:ascii="Palatino Linotype" w:hAnsi="Palatino Linotype"/>
          <w:b/>
          <w:sz w:val="28"/>
          <w:szCs w:val="28"/>
        </w:rPr>
        <w:t>II.</w:t>
      </w:r>
      <w:r w:rsidRPr="00AE2201">
        <w:rPr>
          <w:rFonts w:ascii="Palatino Linotype" w:hAnsi="Palatino Linotype"/>
        </w:rPr>
        <w:t xml:space="preserve"> Es así que, en fechas veintisiete de agosto y cuatro de septiembre de dos mil dieciocho en cumplimiento al artículo 162 de la Ley de la Materia, </w:t>
      </w:r>
      <w:r w:rsidRPr="00AE2201">
        <w:rPr>
          <w:rFonts w:ascii="Palatino Linotype" w:hAnsi="Palatino Linotype"/>
          <w:b/>
        </w:rPr>
        <w:t xml:space="preserve">EL SUJETO OBLIGADO </w:t>
      </w:r>
      <w:r w:rsidRPr="00AE2201">
        <w:rPr>
          <w:rFonts w:ascii="Palatino Linotype" w:hAnsi="Palatino Linotype"/>
        </w:rPr>
        <w:t xml:space="preserve">turnó las solicitudes de acceso a la información al Servidor Público Habilitado que consideró competente; por lo que, en obvio de repeticiones innecesarias se inserta únicamente el turno de la solicitud </w:t>
      </w:r>
      <w:r w:rsidRPr="00AE2201">
        <w:rPr>
          <w:rFonts w:ascii="Palatino Linotype" w:hAnsi="Palatino Linotype"/>
          <w:b/>
        </w:rPr>
        <w:t>00486/ISSEMYM/IP/2018</w:t>
      </w:r>
      <w:r w:rsidRPr="00AE2201">
        <w:rPr>
          <w:rFonts w:ascii="Palatino Linotype" w:hAnsi="Palatino Linotype"/>
        </w:rPr>
        <w:t>, tal como se muestra a continuación:</w:t>
      </w:r>
    </w:p>
    <w:p w:rsidR="00A46E1F" w:rsidRPr="00AE2201" w:rsidRDefault="00A46E1F" w:rsidP="00A46E1F">
      <w:pPr>
        <w:pStyle w:val="Prrafodelista"/>
        <w:spacing w:before="240" w:after="240" w:line="360" w:lineRule="auto"/>
        <w:ind w:left="0" w:right="-93"/>
        <w:contextualSpacing w:val="0"/>
        <w:jc w:val="center"/>
        <w:rPr>
          <w:rFonts w:ascii="Palatino Linotype" w:hAnsi="Palatino Linotype"/>
        </w:rPr>
      </w:pPr>
      <w:r w:rsidRPr="00AE2201">
        <w:rPr>
          <w:noProof/>
          <w:lang w:val="es-MX" w:eastAsia="es-MX"/>
        </w:rPr>
        <w:drawing>
          <wp:inline distT="0" distB="0" distL="0" distR="0" wp14:anchorId="4F3C2256" wp14:editId="50FE0A1E">
            <wp:extent cx="5420648" cy="949570"/>
            <wp:effectExtent l="0" t="0" r="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398" t="39173" r="2971" b="45041"/>
                    <a:stretch/>
                  </pic:blipFill>
                  <pic:spPr bwMode="auto">
                    <a:xfrm>
                      <a:off x="0" y="0"/>
                      <a:ext cx="5494918" cy="962580"/>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A46E1F" w:rsidP="00A46E1F">
      <w:pPr>
        <w:pStyle w:val="Prrafodelista"/>
        <w:spacing w:before="240" w:after="240" w:line="360" w:lineRule="auto"/>
        <w:ind w:left="0" w:right="-93"/>
        <w:contextualSpacing w:val="0"/>
        <w:jc w:val="both"/>
        <w:rPr>
          <w:rFonts w:ascii="Palatino Linotype" w:hAnsi="Palatino Linotype"/>
        </w:rPr>
      </w:pPr>
      <w:r w:rsidRPr="00AE2201">
        <w:rPr>
          <w:rFonts w:ascii="Palatino Linotype" w:hAnsi="Palatino Linotype"/>
          <w:b/>
          <w:sz w:val="28"/>
          <w:szCs w:val="28"/>
        </w:rPr>
        <w:t>III.</w:t>
      </w:r>
      <w:r w:rsidRPr="00AE2201">
        <w:rPr>
          <w:rFonts w:ascii="Palatino Linotype" w:hAnsi="Palatino Linotype"/>
        </w:rPr>
        <w:t xml:space="preserve"> De las constancias que obran en </w:t>
      </w:r>
      <w:r w:rsidRPr="00AE2201">
        <w:rPr>
          <w:rFonts w:ascii="Palatino Linotype" w:hAnsi="Palatino Linotype"/>
          <w:b/>
        </w:rPr>
        <w:t>EL SAIMEX,</w:t>
      </w:r>
      <w:r w:rsidRPr="00AE2201">
        <w:rPr>
          <w:rFonts w:ascii="Palatino Linotype" w:hAnsi="Palatino Linotype"/>
        </w:rPr>
        <w:t xml:space="preserve"> se advierte que en fechas diecisiete y veinticuatro de septiembre de dos mil </w:t>
      </w:r>
      <w:r w:rsidRPr="00AE2201">
        <w:rPr>
          <w:rFonts w:ascii="Palatino Linotype" w:hAnsi="Palatino Linotype" w:cs="Arial"/>
        </w:rPr>
        <w:t>dieciocho</w:t>
      </w:r>
      <w:r w:rsidRPr="00AE2201">
        <w:rPr>
          <w:rFonts w:ascii="Palatino Linotype" w:hAnsi="Palatino Linotype"/>
        </w:rPr>
        <w:t xml:space="preserve">, </w:t>
      </w:r>
      <w:r w:rsidRPr="00AE2201">
        <w:rPr>
          <w:rFonts w:ascii="Palatino Linotype" w:hAnsi="Palatino Linotype"/>
          <w:b/>
        </w:rPr>
        <w:t xml:space="preserve">EL SUJETO OBLIGADO </w:t>
      </w:r>
      <w:r w:rsidRPr="00AE2201">
        <w:rPr>
          <w:rFonts w:ascii="Palatino Linotype" w:hAnsi="Palatino Linotype"/>
        </w:rPr>
        <w:t xml:space="preserve">dio respuesta a las solicitudes de acceso a información pública planteadas por </w:t>
      </w:r>
      <w:r w:rsidRPr="00AE2201">
        <w:rPr>
          <w:rFonts w:ascii="Palatino Linotype" w:hAnsi="Palatino Linotype"/>
          <w:b/>
        </w:rPr>
        <w:t xml:space="preserve">EL RECURRENTE </w:t>
      </w:r>
      <w:r w:rsidRPr="00AE2201">
        <w:rPr>
          <w:rFonts w:ascii="Palatino Linotype" w:hAnsi="Palatino Linotype"/>
        </w:rPr>
        <w:t xml:space="preserve">en los mismos términos, cambiando únicamente el número de la solicitud de información, por lo que en obvio de repeticiones innecesarias, se inserta la respuesta sólo la de la solicitud de información número </w:t>
      </w:r>
      <w:r w:rsidRPr="00AE2201">
        <w:rPr>
          <w:rFonts w:ascii="Palatino Linotype" w:hAnsi="Palatino Linotype"/>
          <w:b/>
        </w:rPr>
        <w:t>00486/ISSEMYM/IP/2018</w:t>
      </w:r>
      <w:r w:rsidRPr="00AE2201">
        <w:rPr>
          <w:rFonts w:ascii="Palatino Linotype" w:hAnsi="Palatino Linotype"/>
        </w:rPr>
        <w:t xml:space="preserve">: </w:t>
      </w:r>
    </w:p>
    <w:p w:rsidR="00A46E1F" w:rsidRPr="00AE2201" w:rsidRDefault="00C4320D" w:rsidP="00A46E1F">
      <w:pPr>
        <w:pStyle w:val="Prrafodelista"/>
        <w:spacing w:before="240" w:after="240" w:line="360" w:lineRule="auto"/>
        <w:ind w:left="0" w:right="-93"/>
        <w:contextualSpacing w:val="0"/>
        <w:jc w:val="center"/>
        <w:rPr>
          <w:rFonts w:ascii="Palatino Linotype" w:hAnsi="Palatino Linotype"/>
          <w:b/>
          <w:sz w:val="22"/>
          <w:szCs w:val="22"/>
        </w:rPr>
      </w:pPr>
      <w:r>
        <w:rPr>
          <w:noProof/>
        </w:rPr>
        <w:lastRenderedPageBreak/>
        <w:drawing>
          <wp:inline distT="0" distB="0" distL="0" distR="0" wp14:anchorId="219612CB" wp14:editId="3A8BA3A7">
            <wp:extent cx="4462146" cy="6849585"/>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6329" t="13430" r="36849" b="13380"/>
                    <a:stretch/>
                  </pic:blipFill>
                  <pic:spPr bwMode="auto">
                    <a:xfrm>
                      <a:off x="0" y="0"/>
                      <a:ext cx="4484183" cy="6883412"/>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A46E1F" w:rsidP="00A46E1F">
      <w:pPr>
        <w:pStyle w:val="Prrafodelista"/>
        <w:spacing w:before="240" w:after="240" w:line="360" w:lineRule="auto"/>
        <w:ind w:left="0" w:right="-93"/>
        <w:contextualSpacing w:val="0"/>
        <w:jc w:val="center"/>
        <w:rPr>
          <w:rFonts w:ascii="Palatino Linotype" w:hAnsi="Palatino Linotype"/>
          <w:b/>
          <w:sz w:val="22"/>
          <w:szCs w:val="22"/>
        </w:rPr>
      </w:pPr>
      <w:r w:rsidRPr="00AE2201">
        <w:rPr>
          <w:noProof/>
          <w:lang w:val="es-MX" w:eastAsia="es-MX"/>
        </w:rPr>
        <w:lastRenderedPageBreak/>
        <w:drawing>
          <wp:inline distT="0" distB="0" distL="0" distR="0" wp14:anchorId="34E8E3EF" wp14:editId="657D0F01">
            <wp:extent cx="4288536" cy="20002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5194" t="19295" r="35424" b="56344"/>
                    <a:stretch/>
                  </pic:blipFill>
                  <pic:spPr bwMode="auto">
                    <a:xfrm>
                      <a:off x="0" y="0"/>
                      <a:ext cx="4314494" cy="2012357"/>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A46E1F" w:rsidP="00A46E1F">
      <w:pPr>
        <w:pStyle w:val="Prrafodelista"/>
        <w:spacing w:before="240" w:after="240" w:line="360" w:lineRule="auto"/>
        <w:ind w:left="0" w:right="-93"/>
        <w:contextualSpacing w:val="0"/>
        <w:jc w:val="both"/>
        <w:rPr>
          <w:rFonts w:ascii="Palatino Linotype" w:hAnsi="Palatino Linotype"/>
        </w:rPr>
      </w:pPr>
      <w:r w:rsidRPr="00AE2201">
        <w:rPr>
          <w:rFonts w:ascii="Palatino Linotype" w:hAnsi="Palatino Linotype"/>
        </w:rPr>
        <w:t>Adjuntando a dichas respuestas diferentes archivos electrónicos cuyo contenido básicamente es el mismo y únicamente modificó los números de solicitudes y las fechas de emisión sirviendo de sustento lo siguiente:</w:t>
      </w:r>
    </w:p>
    <w:p w:rsidR="00A46E1F" w:rsidRPr="00AE2201" w:rsidRDefault="00C4320D" w:rsidP="00A46E1F">
      <w:pPr>
        <w:pStyle w:val="Prrafodelista"/>
        <w:spacing w:before="240" w:after="240" w:line="360" w:lineRule="auto"/>
        <w:ind w:left="0" w:right="-93"/>
        <w:contextualSpacing w:val="0"/>
        <w:jc w:val="center"/>
        <w:rPr>
          <w:rFonts w:ascii="Palatino Linotype" w:hAnsi="Palatino Linotype"/>
        </w:rPr>
      </w:pPr>
      <w:r>
        <w:rPr>
          <w:noProof/>
        </w:rPr>
        <w:drawing>
          <wp:inline distT="0" distB="0" distL="0" distR="0" wp14:anchorId="3BC55E44" wp14:editId="0749D961">
            <wp:extent cx="3104119" cy="3691259"/>
            <wp:effectExtent l="0" t="0" r="127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647" t="13430" r="31425" b="10624"/>
                    <a:stretch/>
                  </pic:blipFill>
                  <pic:spPr bwMode="auto">
                    <a:xfrm>
                      <a:off x="0" y="0"/>
                      <a:ext cx="3122048" cy="3712580"/>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C4320D" w:rsidP="00A46E1F">
      <w:pPr>
        <w:pStyle w:val="Prrafodelista"/>
        <w:spacing w:before="240" w:after="240" w:line="360" w:lineRule="auto"/>
        <w:ind w:left="0" w:right="-93"/>
        <w:contextualSpacing w:val="0"/>
        <w:jc w:val="center"/>
        <w:rPr>
          <w:rFonts w:ascii="Palatino Linotype" w:hAnsi="Palatino Linotype"/>
        </w:rPr>
      </w:pPr>
      <w:r>
        <w:rPr>
          <w:noProof/>
        </w:rPr>
        <w:lastRenderedPageBreak/>
        <w:drawing>
          <wp:inline distT="0" distB="0" distL="0" distR="0" wp14:anchorId="470F881A" wp14:editId="1BE323D4">
            <wp:extent cx="5427778" cy="6888854"/>
            <wp:effectExtent l="0" t="0" r="1905"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195" t="15840" r="33749" b="11837"/>
                    <a:stretch/>
                  </pic:blipFill>
                  <pic:spPr bwMode="auto">
                    <a:xfrm>
                      <a:off x="0" y="0"/>
                      <a:ext cx="5446235" cy="6912280"/>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C4320D" w:rsidP="00A46E1F">
      <w:pPr>
        <w:pStyle w:val="Prrafodelista"/>
        <w:spacing w:before="240" w:after="240" w:line="360" w:lineRule="auto"/>
        <w:ind w:left="0" w:right="-93"/>
        <w:contextualSpacing w:val="0"/>
        <w:jc w:val="center"/>
        <w:rPr>
          <w:rFonts w:ascii="Palatino Linotype" w:hAnsi="Palatino Linotype"/>
        </w:rPr>
      </w:pPr>
      <w:r>
        <w:rPr>
          <w:noProof/>
        </w:rPr>
        <w:lastRenderedPageBreak/>
        <w:drawing>
          <wp:inline distT="0" distB="0" distL="0" distR="0" wp14:anchorId="5774D849" wp14:editId="6271A356">
            <wp:extent cx="5270191" cy="6602753"/>
            <wp:effectExtent l="0" t="0" r="6985"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4004" t="13430" r="34524" b="16479"/>
                    <a:stretch/>
                  </pic:blipFill>
                  <pic:spPr bwMode="auto">
                    <a:xfrm>
                      <a:off x="0" y="0"/>
                      <a:ext cx="5284534" cy="6620722"/>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C4320D" w:rsidP="00A46E1F">
      <w:pPr>
        <w:pStyle w:val="Prrafodelista"/>
        <w:spacing w:before="240" w:after="240" w:line="360" w:lineRule="auto"/>
        <w:ind w:left="0" w:right="-93"/>
        <w:contextualSpacing w:val="0"/>
        <w:jc w:val="center"/>
        <w:rPr>
          <w:rFonts w:ascii="Palatino Linotype" w:hAnsi="Palatino Linotype"/>
        </w:rPr>
      </w:pPr>
      <w:r>
        <w:rPr>
          <w:noProof/>
        </w:rPr>
        <w:lastRenderedPageBreak/>
        <w:drawing>
          <wp:inline distT="0" distB="0" distL="0" distR="0" wp14:anchorId="7130EA76" wp14:editId="17E5FC2C">
            <wp:extent cx="4925988" cy="5884697"/>
            <wp:effectExtent l="0" t="0" r="8255"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839" t="18078" r="33266" b="9941"/>
                    <a:stretch/>
                  </pic:blipFill>
                  <pic:spPr bwMode="auto">
                    <a:xfrm>
                      <a:off x="0" y="0"/>
                      <a:ext cx="4947846" cy="5910809"/>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C4320D" w:rsidP="00A46E1F">
      <w:pPr>
        <w:pStyle w:val="Prrafodelista"/>
        <w:spacing w:before="240" w:after="240" w:line="360" w:lineRule="auto"/>
        <w:ind w:left="0" w:right="-93"/>
        <w:contextualSpacing w:val="0"/>
        <w:jc w:val="center"/>
        <w:rPr>
          <w:rFonts w:ascii="Palatino Linotype" w:hAnsi="Palatino Linotype"/>
        </w:rPr>
      </w:pPr>
      <w:r>
        <w:rPr>
          <w:noProof/>
        </w:rPr>
        <w:lastRenderedPageBreak/>
        <w:drawing>
          <wp:inline distT="0" distB="0" distL="0" distR="0" wp14:anchorId="1C2B3710" wp14:editId="17190EEE">
            <wp:extent cx="5431090" cy="6787877"/>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806" t="15670" r="34126" b="13087"/>
                    <a:stretch/>
                  </pic:blipFill>
                  <pic:spPr bwMode="auto">
                    <a:xfrm>
                      <a:off x="0" y="0"/>
                      <a:ext cx="5455903" cy="6818888"/>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C4320D" w:rsidP="00A46E1F">
      <w:pPr>
        <w:pStyle w:val="Prrafodelista"/>
        <w:spacing w:before="240" w:after="240" w:line="360" w:lineRule="auto"/>
        <w:ind w:left="0" w:right="-93"/>
        <w:contextualSpacing w:val="0"/>
        <w:jc w:val="center"/>
        <w:rPr>
          <w:rFonts w:ascii="Palatino Linotype" w:hAnsi="Palatino Linotype"/>
        </w:rPr>
      </w:pPr>
      <w:r>
        <w:rPr>
          <w:noProof/>
        </w:rPr>
        <w:lastRenderedPageBreak/>
        <w:drawing>
          <wp:inline distT="0" distB="0" distL="0" distR="0" wp14:anchorId="15A4589C" wp14:editId="7A7C2A74">
            <wp:extent cx="5177002" cy="6546655"/>
            <wp:effectExtent l="0" t="0" r="5080" b="698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006" t="11020" r="33741" b="16476"/>
                    <a:stretch/>
                  </pic:blipFill>
                  <pic:spPr bwMode="auto">
                    <a:xfrm>
                      <a:off x="0" y="0"/>
                      <a:ext cx="5217553" cy="6597934"/>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C4320D" w:rsidP="00A46E1F">
      <w:pPr>
        <w:pStyle w:val="Prrafodelista"/>
        <w:spacing w:before="240" w:after="240" w:line="360" w:lineRule="auto"/>
        <w:ind w:left="0" w:right="-93"/>
        <w:contextualSpacing w:val="0"/>
        <w:jc w:val="center"/>
        <w:rPr>
          <w:rFonts w:ascii="Palatino Linotype" w:hAnsi="Palatino Linotype"/>
        </w:rPr>
      </w:pPr>
      <w:r>
        <w:rPr>
          <w:noProof/>
        </w:rPr>
        <w:lastRenderedPageBreak/>
        <w:drawing>
          <wp:inline distT="0" distB="0" distL="0" distR="0" wp14:anchorId="2348EF6A" wp14:editId="0573B663">
            <wp:extent cx="5109278" cy="670934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4775" t="19112" r="35202" b="10807"/>
                    <a:stretch/>
                  </pic:blipFill>
                  <pic:spPr bwMode="auto">
                    <a:xfrm>
                      <a:off x="0" y="0"/>
                      <a:ext cx="5155002" cy="6769383"/>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A46E1F" w:rsidP="00A46E1F">
      <w:pPr>
        <w:pStyle w:val="Prrafodelista"/>
        <w:spacing w:before="240" w:after="240" w:line="360" w:lineRule="auto"/>
        <w:ind w:left="0"/>
        <w:contextualSpacing w:val="0"/>
        <w:jc w:val="both"/>
        <w:rPr>
          <w:rFonts w:ascii="Palatino Linotype" w:hAnsi="Palatino Linotype" w:cs="Arial"/>
          <w:b/>
          <w:bCs/>
          <w:spacing w:val="-20"/>
        </w:rPr>
      </w:pPr>
      <w:r w:rsidRPr="00AE2201">
        <w:rPr>
          <w:rFonts w:ascii="Palatino Linotype" w:hAnsi="Palatino Linotype"/>
          <w:b/>
          <w:sz w:val="28"/>
          <w:szCs w:val="28"/>
        </w:rPr>
        <w:lastRenderedPageBreak/>
        <w:t>IV.</w:t>
      </w:r>
      <w:r w:rsidRPr="00AE2201">
        <w:rPr>
          <w:rFonts w:ascii="Palatino Linotype" w:hAnsi="Palatino Linotype"/>
        </w:rPr>
        <w:t xml:space="preserve"> Inconforme con las respuestas aludidas, en fechas veinticuatro y veintisiete de septiembre de dos mil dieciocho, </w:t>
      </w:r>
      <w:r w:rsidRPr="00AE2201">
        <w:rPr>
          <w:rFonts w:ascii="Palatino Linotype" w:hAnsi="Palatino Linotype"/>
          <w:b/>
        </w:rPr>
        <w:t>EL RECURRENTE</w:t>
      </w:r>
      <w:r w:rsidRPr="00AE2201">
        <w:rPr>
          <w:rFonts w:ascii="Palatino Linotype" w:hAnsi="Palatino Linotype"/>
        </w:rPr>
        <w:t xml:space="preserve"> interpuso los recursos de revisión sujetos del presente estudio, los cuales fueron registrados en </w:t>
      </w:r>
      <w:r w:rsidRPr="00AE2201">
        <w:rPr>
          <w:rFonts w:ascii="Palatino Linotype" w:hAnsi="Palatino Linotype"/>
          <w:b/>
        </w:rPr>
        <w:t>EL SAIMEX</w:t>
      </w:r>
      <w:r w:rsidRPr="00AE2201">
        <w:rPr>
          <w:rFonts w:ascii="Palatino Linotype" w:hAnsi="Palatino Linotype"/>
        </w:rPr>
        <w:t xml:space="preserve"> y se les asignaron los números de expedientes </w:t>
      </w:r>
      <w:r w:rsidRPr="00AE2201">
        <w:rPr>
          <w:rFonts w:ascii="Palatino Linotype" w:hAnsi="Palatino Linotype"/>
          <w:b/>
          <w:spacing w:val="-20"/>
        </w:rPr>
        <w:t>03527</w:t>
      </w:r>
      <w:r w:rsidRPr="00AE2201">
        <w:rPr>
          <w:rFonts w:ascii="Palatino Linotype" w:hAnsi="Palatino Linotype" w:cs="Arial"/>
          <w:b/>
          <w:bCs/>
          <w:spacing w:val="-20"/>
        </w:rPr>
        <w:t xml:space="preserve">/INFOEM/IP/RR/2018, </w:t>
      </w:r>
      <w:r w:rsidRPr="00AE2201">
        <w:rPr>
          <w:rFonts w:ascii="Palatino Linotype" w:hAnsi="Palatino Linotype"/>
          <w:b/>
          <w:spacing w:val="-20"/>
        </w:rPr>
        <w:t>03528</w:t>
      </w:r>
      <w:r w:rsidRPr="00AE2201">
        <w:rPr>
          <w:rFonts w:ascii="Palatino Linotype" w:hAnsi="Palatino Linotype" w:cs="Arial"/>
          <w:b/>
          <w:bCs/>
          <w:spacing w:val="-20"/>
        </w:rPr>
        <w:t xml:space="preserve">/INFOEM/IP/RR/2018, </w:t>
      </w:r>
      <w:r w:rsidRPr="00AE2201">
        <w:rPr>
          <w:rFonts w:ascii="Palatino Linotype" w:hAnsi="Palatino Linotype"/>
          <w:b/>
          <w:spacing w:val="-20"/>
        </w:rPr>
        <w:t>03529</w:t>
      </w:r>
      <w:r w:rsidRPr="00AE2201">
        <w:rPr>
          <w:rFonts w:ascii="Palatino Linotype" w:hAnsi="Palatino Linotype" w:cs="Arial"/>
          <w:b/>
          <w:bCs/>
          <w:spacing w:val="-20"/>
        </w:rPr>
        <w:t xml:space="preserve">/INFOEM/IP/RR/2018, </w:t>
      </w:r>
      <w:r w:rsidRPr="00AE2201">
        <w:rPr>
          <w:rFonts w:ascii="Palatino Linotype" w:hAnsi="Palatino Linotype"/>
          <w:b/>
          <w:spacing w:val="-20"/>
        </w:rPr>
        <w:t>03530</w:t>
      </w:r>
      <w:r w:rsidRPr="00AE2201">
        <w:rPr>
          <w:rFonts w:ascii="Palatino Linotype" w:hAnsi="Palatino Linotype" w:cs="Arial"/>
          <w:b/>
          <w:bCs/>
          <w:spacing w:val="-20"/>
        </w:rPr>
        <w:t xml:space="preserve">/INFOEM/IP/RR/2018, </w:t>
      </w:r>
      <w:r w:rsidRPr="00AE2201">
        <w:rPr>
          <w:rFonts w:ascii="Palatino Linotype" w:hAnsi="Palatino Linotype"/>
          <w:b/>
          <w:spacing w:val="-20"/>
        </w:rPr>
        <w:t>03652/</w:t>
      </w:r>
      <w:r w:rsidRPr="00AE2201">
        <w:rPr>
          <w:rFonts w:ascii="Palatino Linotype" w:hAnsi="Palatino Linotype" w:cs="Arial"/>
          <w:b/>
          <w:bCs/>
          <w:spacing w:val="-20"/>
        </w:rPr>
        <w:t xml:space="preserve">INFOEM/IP/RR/2018, </w:t>
      </w:r>
      <w:r w:rsidRPr="00AE2201">
        <w:rPr>
          <w:rFonts w:ascii="Palatino Linotype" w:hAnsi="Palatino Linotype"/>
          <w:b/>
          <w:spacing w:val="-20"/>
        </w:rPr>
        <w:t>03653</w:t>
      </w:r>
      <w:r w:rsidRPr="00AE2201">
        <w:rPr>
          <w:rFonts w:ascii="Palatino Linotype" w:hAnsi="Palatino Linotype" w:cs="Arial"/>
          <w:b/>
          <w:bCs/>
          <w:spacing w:val="-20"/>
        </w:rPr>
        <w:t>/INFOEM/IP/RR/2018</w:t>
      </w:r>
      <w:r w:rsidRPr="00AE2201">
        <w:rPr>
          <w:rFonts w:ascii="Palatino Linotype" w:hAnsi="Palatino Linotype"/>
        </w:rPr>
        <w:t xml:space="preserve">, </w:t>
      </w:r>
      <w:r w:rsidRPr="00AE2201">
        <w:rPr>
          <w:rFonts w:ascii="Palatino Linotype" w:hAnsi="Palatino Linotype"/>
          <w:b/>
          <w:spacing w:val="-20"/>
        </w:rPr>
        <w:t>03654</w:t>
      </w:r>
      <w:r w:rsidRPr="00AE2201">
        <w:rPr>
          <w:rFonts w:ascii="Palatino Linotype" w:hAnsi="Palatino Linotype" w:cs="Arial"/>
          <w:b/>
          <w:bCs/>
          <w:spacing w:val="-20"/>
        </w:rPr>
        <w:t xml:space="preserve">/INFOEM/IP/RR/2018, </w:t>
      </w:r>
      <w:r w:rsidRPr="00AE2201">
        <w:rPr>
          <w:rFonts w:ascii="Palatino Linotype" w:hAnsi="Palatino Linotype" w:cs="Arial"/>
          <w:bCs/>
          <w:spacing w:val="-20"/>
        </w:rPr>
        <w:t>y</w:t>
      </w:r>
      <w:r w:rsidRPr="00AE2201">
        <w:rPr>
          <w:rFonts w:ascii="Palatino Linotype" w:hAnsi="Palatino Linotype" w:cs="Arial"/>
          <w:b/>
          <w:bCs/>
          <w:spacing w:val="-20"/>
        </w:rPr>
        <w:t xml:space="preserve"> </w:t>
      </w:r>
      <w:r w:rsidRPr="00AE2201">
        <w:rPr>
          <w:rFonts w:ascii="Palatino Linotype" w:hAnsi="Palatino Linotype"/>
          <w:b/>
          <w:spacing w:val="-20"/>
        </w:rPr>
        <w:t>03655</w:t>
      </w:r>
      <w:r w:rsidRPr="00AE2201">
        <w:rPr>
          <w:rFonts w:ascii="Palatino Linotype" w:hAnsi="Palatino Linotype" w:cs="Arial"/>
          <w:b/>
          <w:bCs/>
          <w:spacing w:val="-20"/>
        </w:rPr>
        <w:t>/INFOEM/IP/RR/2018.</w:t>
      </w:r>
    </w:p>
    <w:p w:rsidR="00A46E1F" w:rsidRPr="00AE2201" w:rsidRDefault="00A46E1F" w:rsidP="00A46E1F">
      <w:pPr>
        <w:pStyle w:val="Prrafodelista"/>
        <w:spacing w:before="240" w:after="240" w:line="360" w:lineRule="auto"/>
        <w:ind w:left="0"/>
        <w:contextualSpacing w:val="0"/>
        <w:jc w:val="both"/>
        <w:rPr>
          <w:rFonts w:ascii="Palatino Linotype" w:hAnsi="Palatino Linotype" w:cs="Arial"/>
        </w:rPr>
      </w:pPr>
      <w:r w:rsidRPr="00AE2201">
        <w:rPr>
          <w:rFonts w:ascii="Palatino Linotype" w:hAnsi="Palatino Linotype"/>
        </w:rPr>
        <w:t>Precisando como acto impugnado en los recursos de revisión</w:t>
      </w:r>
      <w:r w:rsidRPr="00AE2201">
        <w:rPr>
          <w:rFonts w:ascii="Palatino Linotype" w:hAnsi="Palatino Linotype" w:cs="Arial"/>
          <w:bCs/>
          <w:spacing w:val="-20"/>
        </w:rPr>
        <w:t xml:space="preserve"> </w:t>
      </w:r>
      <w:r w:rsidRPr="00AE2201">
        <w:rPr>
          <w:rFonts w:ascii="Palatino Linotype" w:hAnsi="Palatino Linotype"/>
          <w:b/>
          <w:spacing w:val="-20"/>
        </w:rPr>
        <w:t>03527</w:t>
      </w:r>
      <w:r w:rsidRPr="00AE2201">
        <w:rPr>
          <w:rFonts w:ascii="Palatino Linotype" w:hAnsi="Palatino Linotype" w:cs="Arial"/>
          <w:b/>
          <w:bCs/>
          <w:spacing w:val="-20"/>
        </w:rPr>
        <w:t xml:space="preserve">/INFOEM/IP/RR/2018, </w:t>
      </w:r>
      <w:r w:rsidRPr="00AE2201">
        <w:rPr>
          <w:rFonts w:ascii="Palatino Linotype" w:hAnsi="Palatino Linotype"/>
          <w:b/>
          <w:spacing w:val="-20"/>
        </w:rPr>
        <w:t>03528</w:t>
      </w:r>
      <w:r w:rsidRPr="00AE2201">
        <w:rPr>
          <w:rFonts w:ascii="Palatino Linotype" w:hAnsi="Palatino Linotype" w:cs="Arial"/>
          <w:b/>
          <w:bCs/>
          <w:spacing w:val="-20"/>
        </w:rPr>
        <w:t xml:space="preserve">/INFOEM/IP/RR/2018, </w:t>
      </w:r>
      <w:r w:rsidRPr="00AE2201">
        <w:rPr>
          <w:rFonts w:ascii="Palatino Linotype" w:hAnsi="Palatino Linotype"/>
          <w:b/>
          <w:spacing w:val="-20"/>
        </w:rPr>
        <w:t>03529</w:t>
      </w:r>
      <w:r w:rsidRPr="00AE2201">
        <w:rPr>
          <w:rFonts w:ascii="Palatino Linotype" w:hAnsi="Palatino Linotype" w:cs="Arial"/>
          <w:b/>
          <w:bCs/>
          <w:spacing w:val="-20"/>
        </w:rPr>
        <w:t xml:space="preserve">/INFOEM/IP/RR/2018  </w:t>
      </w:r>
      <w:r w:rsidRPr="00AE2201">
        <w:rPr>
          <w:rFonts w:ascii="Palatino Linotype" w:hAnsi="Palatino Linotype" w:cs="Arial"/>
          <w:bCs/>
          <w:spacing w:val="-20"/>
        </w:rPr>
        <w:t>y</w:t>
      </w:r>
      <w:r w:rsidRPr="00AE2201">
        <w:rPr>
          <w:rFonts w:ascii="Palatino Linotype" w:hAnsi="Palatino Linotype" w:cs="Arial"/>
          <w:b/>
          <w:bCs/>
          <w:spacing w:val="-20"/>
        </w:rPr>
        <w:t xml:space="preserve">  </w:t>
      </w:r>
      <w:r w:rsidRPr="00AE2201">
        <w:rPr>
          <w:rFonts w:ascii="Palatino Linotype" w:hAnsi="Palatino Linotype"/>
          <w:b/>
          <w:spacing w:val="-20"/>
        </w:rPr>
        <w:t>03530</w:t>
      </w:r>
      <w:r w:rsidRPr="00AE2201">
        <w:rPr>
          <w:rFonts w:ascii="Palatino Linotype" w:hAnsi="Palatino Linotype" w:cs="Arial"/>
          <w:b/>
          <w:bCs/>
          <w:spacing w:val="-20"/>
        </w:rPr>
        <w:t xml:space="preserve">/INFOEM/IP/RR/2018, </w:t>
      </w:r>
      <w:r w:rsidRPr="00AE2201">
        <w:rPr>
          <w:rFonts w:ascii="Palatino Linotype" w:hAnsi="Palatino Linotype" w:cs="Arial"/>
        </w:rPr>
        <w:t>lo siguiente:</w:t>
      </w:r>
    </w:p>
    <w:p w:rsidR="00A46E1F" w:rsidRPr="00AE2201" w:rsidRDefault="00A46E1F" w:rsidP="00A46E1F">
      <w:pPr>
        <w:pStyle w:val="Prrafodelista"/>
        <w:spacing w:before="240" w:after="240" w:line="360" w:lineRule="auto"/>
        <w:ind w:left="851" w:right="899"/>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“El ISSEMYM no entregó la información solicitada y la clasificó como reservada por 5 años.” (Sic)</w:t>
      </w:r>
    </w:p>
    <w:p w:rsidR="00A46E1F" w:rsidRPr="00AE2201" w:rsidRDefault="00A46E1F" w:rsidP="00A46E1F">
      <w:pPr>
        <w:pStyle w:val="Prrafodelista"/>
        <w:spacing w:before="240" w:after="240" w:line="360" w:lineRule="auto"/>
        <w:ind w:left="0"/>
        <w:contextualSpacing w:val="0"/>
        <w:jc w:val="both"/>
        <w:rPr>
          <w:rFonts w:ascii="Palatino Linotype" w:hAnsi="Palatino Linotype" w:cs="Arial"/>
        </w:rPr>
      </w:pPr>
      <w:r w:rsidRPr="00AE2201">
        <w:rPr>
          <w:rFonts w:ascii="Palatino Linotype" w:hAnsi="Palatino Linotype" w:cs="Arial"/>
        </w:rPr>
        <w:t>Asimismo, en dichos recursos de revisión refrió como razones o motivos de inconformidad, lo que a continuación se transcribe:</w:t>
      </w:r>
    </w:p>
    <w:p w:rsidR="00A46E1F" w:rsidRPr="00AE2201" w:rsidRDefault="00A46E1F" w:rsidP="00A46E1F">
      <w:pPr>
        <w:pStyle w:val="Prrafodelista"/>
        <w:ind w:left="851" w:right="902"/>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 xml:space="preserve">“Como se demuestra en el documento que se adjuntó a la solicitud de información, el ISSEMYM ya había entregado requerimientos de pago. Ahora de manera indebida utiliza la ley aplicable y bajo criterios subjetivos la clasifica como reservada, generando una violación a mi derecho al acceso de información pública. Lo que se me dio como respuesta fue una aprobación de clasificación como reservada, en donde se utilizó de manera indebida y a todas luces dolosa la Ley de Transparencia y Acceso a la Información Pública del Estado de México y Municipios, utilizando como fundamento el articulo 3 fracciones XX, XXIV y XXXIII, 128 y 140 fracciones V numerales 1 y 2, VI y X. reservándola por un periodo de 5 años, ya que según el criterio subjetivo del ISSEMYM, puede causar “un daño serio a las actividades de fiscalización, verificación, inspección, de recaudación de contribuciones”. El </w:t>
      </w:r>
      <w:r w:rsidRPr="00AE2201">
        <w:rPr>
          <w:rFonts w:ascii="Palatino Linotype" w:hAnsi="Palatino Linotype"/>
          <w:i/>
          <w:color w:val="000000"/>
          <w:sz w:val="22"/>
          <w:szCs w:val="22"/>
        </w:rPr>
        <w:lastRenderedPageBreak/>
        <w:t xml:space="preserve">ISSEMYM no señaló las razones, motivos o circunstancias especiales que lo llevaron a concluir que el caso particular se ajusta al supuesto previsto por la norma legal invocada como fundamento. Además, no cumplió con el deber que le impone la Ley citada de que, en todo momento, debe aplicar una prueba de daño. Tal como se establece en el Artículo 128. Cuando utiliza el Artículo 140, que señala que “El acceso a la información pública será restringido excepcionalmente, cuando por razones de interés público, ésta sea clasificada como reservada, conforme a los criterios siguientes: V. Aquella cuya divulgación obstruya o pueda causar un serio perjuicio a: 1. Las actividades de fiscalización, verificación, inspección, comprobación y auditoría sobre el cumplimiento de las Leyes; o 2. La recaudación de las contribuciones. VI.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no expone ni prueba cuales son las razones de interés público que justifican clasificar la información como reservada, no expone ni demuestra prueba de daño, de cómo la divulgación de la información obstruiría algo o causaría un serio perjuicio a las actividades de fiscalización, verificación, inspección, comprobación y auditoría sobre el cumplimiento de las Leyes, así como en la recaudación de las contribuciones. De igual manera tampoco describió ni aportó prueba de daño cuando refiere que al entregar la información solicitada se podría causar daño u obstruir la prevención o persecución de delitos, alteración en el proceso de investigación de las carpetas de investigación, afectar o vulnerar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Por lo anterior aludo al Artículo 129 de la misma Ley que en este caso obliga al ISSEMYM a aplicar la prueba de daño que como es evidente no cumplió, pero que se establece que debió haber sido de la siguiente manera: En la aplicación de la prueba de daño, el sujeto obligado deberá precisar las razones objetivas por las que la apertura de la información generaría una afectación, justificando que: I. La divulgación de la información representa un riesgo real, demostrable e identificable del perjuicio significativo al interés público o a la </w:t>
      </w:r>
      <w:r w:rsidRPr="00AE2201">
        <w:rPr>
          <w:rFonts w:ascii="Palatino Linotype" w:hAnsi="Palatino Linotype"/>
          <w:i/>
          <w:color w:val="000000"/>
          <w:sz w:val="22"/>
          <w:szCs w:val="22"/>
        </w:rPr>
        <w:lastRenderedPageBreak/>
        <w:t>seguridad pública; II. El riesgo de perjuicio que supondría la divulgación supera el interés público general de que se difunda; y III. La limitación se adecua al principio de proporcionalidad y representa el medio menos restrictivo disponible para evitar el perjuicio. En cuanto al reservar la información 5 años, se violenta el Artículo 130, ya que el ISSEMYM no aplicó, de manera restrictiva y limitada, las excepciones al derecho de acceso a la información y las invocó sin acreditar su procedencia. Solo impuso 5 años con un criterio subjetivo y conveniente para que nada turbio pueda salir a la luz, además. El ISSEMYM violenta el artículo 3 fracción XXXIII “Prueba de Daño: Responsabilidad de los sujetos obligados de demostrar de manera fundada y motivada que la divulgación de información lesiona el interés jurídicamente protegido por la Ley, y que el menoscabo o daño que puede producirse con la publicidad de la información es mayor que el interés de conocerla y por consiguiente debe clasificarse como reservada;” XXXIV. Prueba de interés público: Es el proceso de ponderación entre el beneficio que reporta dar a conocer la información confidencial solicitada contra el daño que su divulgación genera en los derechos de las personas, llevado a cabo por el Instituto en el ámbito de sus respectivas competencias.” (Sic)</w:t>
      </w:r>
    </w:p>
    <w:p w:rsidR="00A46E1F" w:rsidRPr="00AE2201" w:rsidRDefault="00A46E1F" w:rsidP="00A46E1F">
      <w:pPr>
        <w:pStyle w:val="Prrafodelista"/>
        <w:spacing w:before="240" w:after="240" w:line="360" w:lineRule="auto"/>
        <w:ind w:left="0"/>
        <w:contextualSpacing w:val="0"/>
        <w:jc w:val="both"/>
        <w:rPr>
          <w:rFonts w:ascii="Palatino Linotype" w:hAnsi="Palatino Linotype"/>
        </w:rPr>
      </w:pPr>
      <w:r w:rsidRPr="00AE2201">
        <w:rPr>
          <w:rFonts w:ascii="Palatino Linotype" w:hAnsi="Palatino Linotype" w:cs="Arial"/>
        </w:rPr>
        <w:t xml:space="preserve">Mientras que en los recursos de revisión </w:t>
      </w:r>
      <w:r w:rsidRPr="00AE2201">
        <w:rPr>
          <w:rFonts w:ascii="Palatino Linotype" w:hAnsi="Palatino Linotype"/>
          <w:b/>
          <w:spacing w:val="-20"/>
        </w:rPr>
        <w:t>03652/</w:t>
      </w:r>
      <w:r w:rsidRPr="00AE2201">
        <w:rPr>
          <w:rFonts w:ascii="Palatino Linotype" w:hAnsi="Palatino Linotype" w:cs="Arial"/>
          <w:b/>
          <w:bCs/>
          <w:spacing w:val="-20"/>
        </w:rPr>
        <w:t xml:space="preserve">INFOEM/IP/RR/2018, </w:t>
      </w:r>
      <w:r w:rsidRPr="00AE2201">
        <w:rPr>
          <w:rFonts w:ascii="Palatino Linotype" w:hAnsi="Palatino Linotype"/>
          <w:b/>
          <w:spacing w:val="-20"/>
        </w:rPr>
        <w:t>03653</w:t>
      </w:r>
      <w:r w:rsidRPr="00AE2201">
        <w:rPr>
          <w:rFonts w:ascii="Palatino Linotype" w:hAnsi="Palatino Linotype" w:cs="Arial"/>
          <w:b/>
          <w:bCs/>
          <w:spacing w:val="-20"/>
        </w:rPr>
        <w:t>/INFOEM/IP/RR/2018</w:t>
      </w:r>
      <w:r w:rsidRPr="00AE2201">
        <w:rPr>
          <w:rFonts w:ascii="Palatino Linotype" w:hAnsi="Palatino Linotype"/>
        </w:rPr>
        <w:t xml:space="preserve">, </w:t>
      </w:r>
      <w:r w:rsidRPr="00AE2201">
        <w:rPr>
          <w:rFonts w:ascii="Palatino Linotype" w:hAnsi="Palatino Linotype"/>
          <w:b/>
          <w:spacing w:val="-20"/>
        </w:rPr>
        <w:t>03654</w:t>
      </w:r>
      <w:r w:rsidRPr="00AE2201">
        <w:rPr>
          <w:rFonts w:ascii="Palatino Linotype" w:hAnsi="Palatino Linotype" w:cs="Arial"/>
          <w:b/>
          <w:bCs/>
          <w:spacing w:val="-20"/>
        </w:rPr>
        <w:t xml:space="preserve">/INFOEM/IP/RR/2018, </w:t>
      </w:r>
      <w:r w:rsidRPr="00AE2201">
        <w:rPr>
          <w:rFonts w:ascii="Palatino Linotype" w:hAnsi="Palatino Linotype" w:cs="Arial"/>
          <w:bCs/>
          <w:spacing w:val="-20"/>
        </w:rPr>
        <w:t>y</w:t>
      </w:r>
      <w:r w:rsidRPr="00AE2201">
        <w:rPr>
          <w:rFonts w:ascii="Palatino Linotype" w:hAnsi="Palatino Linotype" w:cs="Arial"/>
          <w:b/>
          <w:bCs/>
          <w:spacing w:val="-20"/>
        </w:rPr>
        <w:t xml:space="preserve"> </w:t>
      </w:r>
      <w:r w:rsidRPr="00AE2201">
        <w:rPr>
          <w:rFonts w:ascii="Palatino Linotype" w:hAnsi="Palatino Linotype"/>
          <w:b/>
          <w:spacing w:val="-20"/>
        </w:rPr>
        <w:t>03655</w:t>
      </w:r>
      <w:r w:rsidRPr="00AE2201">
        <w:rPr>
          <w:rFonts w:ascii="Palatino Linotype" w:hAnsi="Palatino Linotype" w:cs="Arial"/>
          <w:b/>
          <w:bCs/>
          <w:spacing w:val="-20"/>
        </w:rPr>
        <w:t xml:space="preserve">/INFOEM/IP/RR/2018, </w:t>
      </w:r>
      <w:r w:rsidRPr="00AE2201">
        <w:rPr>
          <w:rFonts w:ascii="Palatino Linotype" w:hAnsi="Palatino Linotype"/>
        </w:rPr>
        <w:t>como acto impugnado manifestó:</w:t>
      </w:r>
    </w:p>
    <w:p w:rsidR="00A46E1F" w:rsidRPr="00AE2201" w:rsidRDefault="00A46E1F" w:rsidP="00A46E1F">
      <w:pPr>
        <w:pStyle w:val="Prrafodelista"/>
        <w:spacing w:before="240" w:after="240" w:line="360" w:lineRule="auto"/>
        <w:ind w:left="0"/>
        <w:contextualSpacing w:val="0"/>
        <w:jc w:val="both"/>
        <w:rPr>
          <w:rFonts w:ascii="Palatino Linotype" w:hAnsi="Palatino Linotype" w:cs="Arial"/>
          <w:b/>
          <w:bCs/>
          <w:spacing w:val="-20"/>
        </w:rPr>
      </w:pPr>
      <w:r w:rsidRPr="00AE2201">
        <w:rPr>
          <w:rFonts w:ascii="Palatino Linotype" w:hAnsi="Palatino Linotype"/>
          <w:b/>
          <w:spacing w:val="-20"/>
        </w:rPr>
        <w:t>03652/</w:t>
      </w:r>
      <w:r w:rsidRPr="00AE2201">
        <w:rPr>
          <w:rFonts w:ascii="Palatino Linotype" w:hAnsi="Palatino Linotype" w:cs="Arial"/>
          <w:b/>
          <w:bCs/>
          <w:spacing w:val="-20"/>
        </w:rPr>
        <w:t>INFOEM/IP/RR/2018</w:t>
      </w:r>
    </w:p>
    <w:p w:rsidR="00A46E1F" w:rsidRPr="00AE2201" w:rsidRDefault="00A46E1F" w:rsidP="00A46E1F">
      <w:pPr>
        <w:pStyle w:val="Prrafodelista"/>
        <w:ind w:left="851" w:right="902"/>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“El ISSEMYM no entregó lo que solicito: “Requerimientos de pago que el ISSEMYM entregó a la UAEM desde el mes de agosto hasta el mes de diciembre del año 2016” para no entregar la información la clasifico como reservada por 5 años aunque dicha información es del año 2016 y nada justifica su clasificación como reservada.” (Sic)</w:t>
      </w:r>
    </w:p>
    <w:p w:rsidR="00A46E1F" w:rsidRPr="00AE2201" w:rsidRDefault="00A46E1F" w:rsidP="00A46E1F">
      <w:pPr>
        <w:spacing w:before="100" w:beforeAutospacing="1" w:after="100" w:afterAutospacing="1"/>
        <w:ind w:right="902"/>
        <w:jc w:val="both"/>
        <w:rPr>
          <w:rFonts w:ascii="Palatino Linotype" w:hAnsi="Palatino Linotype" w:cs="Arial"/>
          <w:b/>
          <w:bCs/>
          <w:spacing w:val="-20"/>
        </w:rPr>
      </w:pPr>
      <w:r w:rsidRPr="00AE2201">
        <w:rPr>
          <w:rFonts w:ascii="Palatino Linotype" w:hAnsi="Palatino Linotype"/>
          <w:b/>
          <w:spacing w:val="-20"/>
        </w:rPr>
        <w:t>03653</w:t>
      </w:r>
      <w:r w:rsidRPr="00AE2201">
        <w:rPr>
          <w:rFonts w:ascii="Palatino Linotype" w:hAnsi="Palatino Linotype" w:cs="Arial"/>
          <w:b/>
          <w:bCs/>
          <w:spacing w:val="-20"/>
        </w:rPr>
        <w:t>/INFOEM/IP/RR/2018</w:t>
      </w:r>
    </w:p>
    <w:p w:rsidR="00A46E1F" w:rsidRPr="00AE2201" w:rsidRDefault="00A46E1F" w:rsidP="00A46E1F">
      <w:pPr>
        <w:pStyle w:val="Prrafodelista"/>
        <w:ind w:left="851" w:right="902"/>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“El ISSEMYM no entregó lo que solicito, para no entregar la información la clasificó como reservada por 5 años, aunque dicha información es del año 2017 y nada justifica su clasificación como reservada.” (Sic)</w:t>
      </w:r>
    </w:p>
    <w:p w:rsidR="00A46E1F" w:rsidRPr="00AE2201" w:rsidRDefault="00A46E1F" w:rsidP="00A46E1F">
      <w:pPr>
        <w:spacing w:before="100" w:beforeAutospacing="1" w:after="100" w:afterAutospacing="1"/>
        <w:ind w:right="902"/>
        <w:jc w:val="both"/>
        <w:rPr>
          <w:rFonts w:ascii="Palatino Linotype" w:hAnsi="Palatino Linotype" w:cs="Arial"/>
          <w:b/>
          <w:bCs/>
          <w:spacing w:val="-20"/>
        </w:rPr>
      </w:pPr>
      <w:r w:rsidRPr="00AE2201">
        <w:rPr>
          <w:rFonts w:ascii="Palatino Linotype" w:hAnsi="Palatino Linotype"/>
          <w:b/>
          <w:spacing w:val="-20"/>
        </w:rPr>
        <w:lastRenderedPageBreak/>
        <w:t>03654</w:t>
      </w:r>
      <w:r w:rsidRPr="00AE2201">
        <w:rPr>
          <w:rFonts w:ascii="Palatino Linotype" w:hAnsi="Palatino Linotype" w:cs="Arial"/>
          <w:b/>
          <w:bCs/>
          <w:spacing w:val="-20"/>
        </w:rPr>
        <w:t>/INFOEM/IP/RR/2018</w:t>
      </w:r>
    </w:p>
    <w:p w:rsidR="00A46E1F" w:rsidRPr="00AE2201" w:rsidRDefault="00A46E1F" w:rsidP="00A46E1F">
      <w:pPr>
        <w:pStyle w:val="Prrafodelista"/>
        <w:ind w:left="851" w:right="902"/>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“El ISSEMYM no entregó lo que solicité. Para no entregar la información la clasificó como reservada por 5 años, aunque dicha información es del año 2017 y nada justifica su clasificación como reservada.” (Sic)</w:t>
      </w:r>
    </w:p>
    <w:p w:rsidR="00A46E1F" w:rsidRPr="00AE2201" w:rsidRDefault="00A46E1F" w:rsidP="00A46E1F">
      <w:pPr>
        <w:spacing w:before="100" w:beforeAutospacing="1" w:after="100" w:afterAutospacing="1"/>
        <w:ind w:right="902"/>
        <w:jc w:val="both"/>
        <w:rPr>
          <w:rFonts w:ascii="Palatino Linotype" w:hAnsi="Palatino Linotype" w:cs="Arial"/>
          <w:b/>
          <w:bCs/>
          <w:spacing w:val="-20"/>
        </w:rPr>
      </w:pPr>
      <w:r w:rsidRPr="00AE2201">
        <w:rPr>
          <w:rFonts w:ascii="Palatino Linotype" w:hAnsi="Palatino Linotype"/>
          <w:b/>
          <w:spacing w:val="-20"/>
        </w:rPr>
        <w:t>03655</w:t>
      </w:r>
      <w:r w:rsidRPr="00AE2201">
        <w:rPr>
          <w:rFonts w:ascii="Palatino Linotype" w:hAnsi="Palatino Linotype" w:cs="Arial"/>
          <w:b/>
          <w:bCs/>
          <w:spacing w:val="-20"/>
        </w:rPr>
        <w:t>/INFOEM/IP/RR/2018</w:t>
      </w:r>
    </w:p>
    <w:p w:rsidR="00A46E1F" w:rsidRPr="00AE2201" w:rsidRDefault="00A46E1F" w:rsidP="00A46E1F">
      <w:pPr>
        <w:pStyle w:val="Prrafodelista"/>
        <w:ind w:left="851" w:right="902"/>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“El ISSEMYM no entregó lo que solicité. Para no entregar la información la clasificó como reservada por 5 años.” (Sic)</w:t>
      </w:r>
    </w:p>
    <w:p w:rsidR="00A46E1F" w:rsidRPr="00AE2201" w:rsidRDefault="00A46E1F" w:rsidP="00A46E1F">
      <w:pPr>
        <w:pStyle w:val="Prrafodelista"/>
        <w:spacing w:before="240" w:after="240" w:line="360" w:lineRule="auto"/>
        <w:ind w:left="0"/>
        <w:contextualSpacing w:val="0"/>
        <w:jc w:val="both"/>
        <w:rPr>
          <w:rFonts w:ascii="Palatino Linotype" w:hAnsi="Palatino Linotype" w:cs="Arial"/>
        </w:rPr>
      </w:pPr>
      <w:r w:rsidRPr="00AE2201">
        <w:rPr>
          <w:rFonts w:ascii="Palatino Linotype" w:hAnsi="Palatino Linotype" w:cs="Arial"/>
        </w:rPr>
        <w:t>Asimismo, en dichos recursos de revisión refrió como razones o motivos de inconformidad, lo que a continuación se transcribe:</w:t>
      </w:r>
    </w:p>
    <w:p w:rsidR="00A46E1F" w:rsidRPr="00AE2201" w:rsidRDefault="00A46E1F" w:rsidP="00A46E1F">
      <w:pPr>
        <w:pStyle w:val="Prrafodelista"/>
        <w:ind w:left="851" w:right="902"/>
        <w:contextualSpacing w:val="0"/>
        <w:jc w:val="both"/>
        <w:rPr>
          <w:rFonts w:ascii="Palatino Linotype" w:hAnsi="Palatino Linotype"/>
          <w:i/>
          <w:color w:val="000000"/>
          <w:sz w:val="22"/>
          <w:szCs w:val="22"/>
        </w:rPr>
      </w:pPr>
      <w:r w:rsidRPr="00AE2201">
        <w:rPr>
          <w:rFonts w:ascii="Palatino Linotype" w:hAnsi="Palatino Linotype"/>
          <w:i/>
          <w:color w:val="000000"/>
          <w:sz w:val="22"/>
          <w:szCs w:val="22"/>
        </w:rPr>
        <w:t xml:space="preserve">“Como se demuestra en el documento que se adjuntó a la solicitud de información, el ISSEMYM ya había entregado requerimientos de pago. Ahora de manera indebida utiliza la ley aplicable y bajo criterios subjetivos la clasifica como reservada, generando una violación a mi derecho al acceso de información pública. Lo que se me dio como respuesta fue una aprobación de clasificación como reservada, en donde se utilizó de manera indebida y a todas luces dolosa la Ley de Transparencia y Acceso a la Información Pública del Estado de México y Municipios, utilizando como fundamento el articulo 3 fracciones XX, XXIV y XXXIII, 128 y 140fracciones V numerales 1 y 2, VI y X. reservándola por un periodo de 5 años, ya que según el criterio subjetivo del ISSEMYM, puede causar “un daño serio a las actividades de fiscalización, verificación, inspección, de recaudación de contribuciones”, aunque la información solicitada no ha sido motivo de fiscalización, verificación e inspección y tampoco afecta a recaudaciones pues son simples requerimientos de pago, en todo caso su no existencia si afectaría a las recaudaciones. El ISSEMYM no señaló las razones, motivos o circunstancias especiales que lo llevaron a concluir que el caso particular se ajusta al supuesto previsto por la norma legal invocada como fundamento. Además, no cumplió con el deber que le impone la Ley citada de que, en todo momento, debe aplicar una prueba de daño. Tal como se establece en el Artículo 128. Cuando utiliza el Artículo 140, que señala que “El acceso a la información pública será restringido excepcionalmente, cuando por razones de interés público, ésta sea clasificada como reservada, conforme a los criterios siguientes: V. Aquella cuya divulgación obstruya o pueda causar un serio perjuicio a: 1. Las actividades de </w:t>
      </w:r>
      <w:r w:rsidRPr="00AE2201">
        <w:rPr>
          <w:rFonts w:ascii="Palatino Linotype" w:hAnsi="Palatino Linotype"/>
          <w:i/>
          <w:color w:val="000000"/>
          <w:sz w:val="22"/>
          <w:szCs w:val="22"/>
        </w:rPr>
        <w:lastRenderedPageBreak/>
        <w:t xml:space="preserve">fiscalización, verificación, inspección, comprobación y auditoría sobre el cumplimiento de las Leyes; o 2. La recaudación de las contribuciones. VI.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no expone ni prueba cuales son las razones de interés público que justifican clasificar la información como reservada, no expone ni demuestra prueba de daño, de cómo la divulgación de la información obstruiría algo o causaría un serio perjuicio a las actividades de fiscalización, verificación, inspección, comprobación y auditoría sobre el cumplimiento de las Leyes, así como en la recaudación de las contribuciones. De igual manera tampoco describió ni aportó prueba de daño cuando refiere que al entregar la información solicitada se podría causar daño u obstruir la prevención o persecución de delitos, alteración en el proceso de investigación de las carpetas de investigación, afectar o vulnerar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Por lo anterior aludo al Artículo 129 de la misma Ley que en este caso obliga al ISSEMYM a aplicar la prueba de daño que como es evidente no cumplió, pero que se establece que debió haber sido de la siguiente manera: En la aplicación de la prueba de daño, el sujeto obligado deberá precisar las razones objetivas por las que la apertura de la información generaría una afectación, justificando que: I. La divulgación de la información representa un riesgo real, demostrable e identificable del perjuicio significativo al interés público o a la seguridad pública; II. El riesgo de perjuicio que supondría la divulgación supera el interés público general de que se difunda; y III. La limitación se adecua al principio de proporcionalidad y representa el medio menos restrictivo disponible para evitar el perjuicio. En cuanto al reservar la información 5 años, se violenta el Artículo 130, ya que el ISSEMYM no aplicó, de manera restrictiva y limitada, las excepciones al derecho de acceso a la información y las invocó sin acreditar su procedencia. Solo impuso 5 años con un criterio subjetivo y conveniente para que nada turbio pueda salir a la luz, además. El ISSEMYM violenta el artículo 3 fracción XXXIII “Prueba </w:t>
      </w:r>
      <w:r w:rsidRPr="00AE2201">
        <w:rPr>
          <w:rFonts w:ascii="Palatino Linotype" w:hAnsi="Palatino Linotype"/>
          <w:i/>
          <w:color w:val="000000"/>
          <w:sz w:val="22"/>
          <w:szCs w:val="22"/>
        </w:rPr>
        <w:lastRenderedPageBreak/>
        <w:t xml:space="preserve">de Daño: Responsabilidad de los sujetos obligados de demostrar de manera fundada y motivada que la divulgación de información lesiona el interés jurídicamente protegido por la Ley, y que el menoscabo o daño que puede producirse con la publicidad de la información es mayor que el interés de conocerla y por consiguiente debe clasificarse como reservada;” El beneficio de dar a conocer la información es mayor al de clasificarla como reservada, toda vez que en la actualidad hay diversas irregularidades que sugieren una posible red de corrupción entre instituciones deudoras a la seguridad social y el ISSEMYM. Tener las evidencias documentales del adecuado proceder del ISSEMYM es en este momento de suma importancia para que los derechohabientes y la opinión publica estén debidamente informadas. Si se permite su clasificación como reservada, aparte del daño a la solicitud de un particular, se generará un daño masivo al derecho de las audiencias de acceder a información pública. Por lo tanto, invoco el artículo 3 fracción XXXIV de la Ley de Transparencia y Acceso a la Información Pública del Estado de México y Municipios Notas sobre las deudas al ISSEMYM: https://prensa-de-universitarios-activistas-em.com/2018/09/05/150-instituciones-publicas-deben-al-issemym-la-uaem-en-primer-lugar/ </w:t>
      </w:r>
      <w:hyperlink r:id="rId18" w:history="1">
        <w:r w:rsidRPr="00AE2201">
          <w:rPr>
            <w:rStyle w:val="Hipervnculo"/>
            <w:rFonts w:ascii="Palatino Linotype" w:hAnsi="Palatino Linotype"/>
            <w:i/>
            <w:color w:val="auto"/>
            <w:sz w:val="22"/>
            <w:szCs w:val="22"/>
            <w:u w:val="none"/>
          </w:rPr>
          <w:t>https://prensa-de-universitarios-activistas-em.com/2018/08/21/asi-simularon-destinar-millones-al-issemym/</w:t>
        </w:r>
      </w:hyperlink>
      <w:r w:rsidRPr="00AE2201">
        <w:rPr>
          <w:rFonts w:ascii="Palatino Linotype" w:hAnsi="Palatino Linotype"/>
          <w:i/>
          <w:sz w:val="22"/>
          <w:szCs w:val="22"/>
        </w:rPr>
        <w:t xml:space="preserve">.” </w:t>
      </w:r>
      <w:r w:rsidRPr="00AE2201">
        <w:rPr>
          <w:rFonts w:ascii="Palatino Linotype" w:hAnsi="Palatino Linotype"/>
          <w:i/>
          <w:color w:val="000000"/>
          <w:sz w:val="22"/>
          <w:szCs w:val="22"/>
        </w:rPr>
        <w:t>(Sic)</w:t>
      </w:r>
    </w:p>
    <w:p w:rsidR="00A46E1F" w:rsidRPr="00AE2201" w:rsidRDefault="00A46E1F" w:rsidP="00A46E1F">
      <w:pPr>
        <w:pStyle w:val="Prrafodelista"/>
        <w:spacing w:before="240" w:after="240" w:line="360" w:lineRule="auto"/>
        <w:ind w:left="0"/>
        <w:contextualSpacing w:val="0"/>
        <w:jc w:val="both"/>
        <w:rPr>
          <w:rFonts w:ascii="Palatino Linotype" w:hAnsi="Palatino Linotype" w:cs="Arial"/>
        </w:rPr>
      </w:pPr>
      <w:r w:rsidRPr="00AE2201">
        <w:rPr>
          <w:rFonts w:ascii="Palatino Linotype" w:hAnsi="Palatino Linotype" w:cs="Arial"/>
        </w:rPr>
        <w:t xml:space="preserve">A los recursos de revisión en comento, el particular adjuntó el archivo electrónico denominado </w:t>
      </w:r>
      <w:r w:rsidRPr="00AE2201">
        <w:rPr>
          <w:rFonts w:ascii="Palatino Linotype" w:hAnsi="Palatino Linotype" w:cs="Arial"/>
          <w:b/>
        </w:rPr>
        <w:t>“</w:t>
      </w:r>
      <w:hyperlink r:id="rId19" w:tgtFrame="_blank" w:history="1">
        <w:r w:rsidRPr="00AE2201">
          <w:rPr>
            <w:rFonts w:ascii="Palatino Linotype" w:hAnsi="Palatino Linotype"/>
            <w:b/>
          </w:rPr>
          <w:t>2016 Requerimientos-pago-de-Abril-a-Agosto-de-2015.pdf</w:t>
        </w:r>
      </w:hyperlink>
      <w:r w:rsidRPr="00AE2201">
        <w:rPr>
          <w:rFonts w:ascii="Palatino Linotype" w:hAnsi="Palatino Linotype" w:cs="Arial"/>
          <w:b/>
        </w:rPr>
        <w:t xml:space="preserve">” </w:t>
      </w:r>
      <w:r w:rsidRPr="00AE2201">
        <w:rPr>
          <w:rFonts w:ascii="Palatino Linotype" w:hAnsi="Palatino Linotype" w:cs="Arial"/>
        </w:rPr>
        <w:t>mismo que se omite su inserción en el presente apartado al ser del conocimiento de las partes.</w:t>
      </w:r>
    </w:p>
    <w:p w:rsidR="00A46E1F" w:rsidRPr="00AE2201" w:rsidRDefault="00A46E1F" w:rsidP="00A46E1F">
      <w:pPr>
        <w:pStyle w:val="Prrafodelista"/>
        <w:spacing w:before="240" w:after="240" w:line="360" w:lineRule="auto"/>
        <w:ind w:left="0"/>
        <w:contextualSpacing w:val="0"/>
        <w:jc w:val="both"/>
        <w:rPr>
          <w:rFonts w:ascii="Palatino Linotype" w:hAnsi="Palatino Linotype" w:cs="Arial"/>
          <w:b/>
          <w:lang w:val="es-ES_tradnl"/>
        </w:rPr>
      </w:pPr>
      <w:bookmarkStart w:id="0" w:name="_Ref454965175"/>
      <w:r w:rsidRPr="00AE2201">
        <w:rPr>
          <w:rFonts w:ascii="Palatino Linotype" w:hAnsi="Palatino Linotype"/>
          <w:b/>
          <w:sz w:val="28"/>
          <w:szCs w:val="28"/>
        </w:rPr>
        <w:t>V.</w:t>
      </w:r>
      <w:r w:rsidRPr="00AE2201">
        <w:rPr>
          <w:rFonts w:ascii="Palatino Linotype" w:hAnsi="Palatino Linotype"/>
        </w:rPr>
        <w:t xml:space="preserve"> </w:t>
      </w:r>
      <w:bookmarkEnd w:id="0"/>
      <w:r w:rsidRPr="00AE2201">
        <w:rPr>
          <w:rFonts w:ascii="Palatino Linotype" w:hAnsi="Palatino Linotype" w:cs="Arial"/>
        </w:rPr>
        <w:t xml:space="preserve">Los días veinticuatro y veintisiete de septiembre </w:t>
      </w:r>
      <w:r w:rsidRPr="00AE2201">
        <w:rPr>
          <w:rFonts w:ascii="Palatino Linotype" w:hAnsi="Palatino Linotype"/>
        </w:rPr>
        <w:t>de dos mil dieciocho</w:t>
      </w:r>
      <w:r w:rsidRPr="00AE2201">
        <w:rPr>
          <w:rFonts w:ascii="Palatino Linotype" w:hAnsi="Palatino Linotype" w:cs="Arial"/>
        </w:rPr>
        <w:t xml:space="preserve">, los </w:t>
      </w:r>
      <w:r w:rsidRPr="00AE2201">
        <w:rPr>
          <w:rFonts w:ascii="Palatino Linotype" w:hAnsi="Palatino Linotype" w:cs="Arial"/>
          <w:lang w:val="es-ES_tradnl"/>
        </w:rPr>
        <w:t>recursos de que</w:t>
      </w:r>
      <w:r w:rsidRPr="00AE2201">
        <w:rPr>
          <w:rFonts w:ascii="Palatino Linotype" w:hAnsi="Palatino Linotype" w:cs="Arial"/>
        </w:rPr>
        <w:t xml:space="preserve"> se trata</w:t>
      </w:r>
      <w:r w:rsidRPr="00AE2201">
        <w:rPr>
          <w:rFonts w:ascii="Palatino Linotype" w:hAnsi="Palatino Linotype" w:cs="Arial"/>
          <w:lang w:val="es-ES_tradnl"/>
        </w:rPr>
        <w:t xml:space="preserve"> se enviaron electrónicamente al Instituto de </w:t>
      </w:r>
      <w:r w:rsidRPr="00AE2201">
        <w:rPr>
          <w:rFonts w:ascii="Palatino Linotype" w:eastAsia="Arial Unicode MS" w:hAnsi="Palatino Linotype" w:cs="Arial"/>
        </w:rPr>
        <w:t>Transparencia</w:t>
      </w:r>
      <w:r w:rsidRPr="00AE2201">
        <w:rPr>
          <w:rFonts w:ascii="Palatino Linotype" w:hAnsi="Palatino Linotype" w:cs="Arial"/>
          <w:lang w:val="es-ES_tradnl"/>
        </w:rPr>
        <w:t xml:space="preserve">, Acceso a la Información Pública y Protección de Datos Personales del Estado de México y Municipios y con fundamento en el artículo 185, fracción I de la </w:t>
      </w:r>
      <w:r w:rsidRPr="00AE2201">
        <w:rPr>
          <w:rFonts w:ascii="Palatino Linotype" w:hAnsi="Palatino Linotype"/>
        </w:rPr>
        <w:t>Ley de Transparencia y Acceso a la Información Pública del Estado de México y Municipios</w:t>
      </w:r>
      <w:r w:rsidRPr="00AE2201">
        <w:rPr>
          <w:rFonts w:ascii="Palatino Linotype" w:hAnsi="Palatino Linotype" w:cs="Arial"/>
          <w:lang w:val="es-ES_tradnl"/>
        </w:rPr>
        <w:t>, se turnaron</w:t>
      </w:r>
      <w:r w:rsidRPr="00AE2201">
        <w:rPr>
          <w:rFonts w:ascii="Palatino Linotype" w:hAnsi="Palatino Linotype"/>
        </w:rPr>
        <w:t xml:space="preserve"> los </w:t>
      </w:r>
      <w:r w:rsidRPr="00AE2201">
        <w:rPr>
          <w:rFonts w:ascii="Palatino Linotype" w:hAnsi="Palatino Linotype" w:cs="Arial"/>
          <w:lang w:val="es-ES_tradnl"/>
        </w:rPr>
        <w:t>recursos</w:t>
      </w:r>
      <w:r w:rsidRPr="00AE2201">
        <w:rPr>
          <w:rFonts w:ascii="Palatino Linotype" w:hAnsi="Palatino Linotype" w:cs="Arial"/>
          <w:szCs w:val="20"/>
        </w:rPr>
        <w:t xml:space="preserve"> de revisión </w:t>
      </w:r>
      <w:r w:rsidRPr="00AE2201">
        <w:rPr>
          <w:rFonts w:ascii="Palatino Linotype" w:hAnsi="Palatino Linotype"/>
          <w:b/>
          <w:spacing w:val="-20"/>
        </w:rPr>
        <w:t>03527</w:t>
      </w:r>
      <w:r w:rsidRPr="00AE2201">
        <w:rPr>
          <w:rFonts w:ascii="Palatino Linotype" w:hAnsi="Palatino Linotype" w:cs="Arial"/>
          <w:b/>
          <w:bCs/>
          <w:spacing w:val="-20"/>
        </w:rPr>
        <w:t xml:space="preserve">/INFOEM/IP/RR/2018, </w:t>
      </w:r>
      <w:r w:rsidRPr="00AE2201">
        <w:rPr>
          <w:rFonts w:ascii="Palatino Linotype" w:hAnsi="Palatino Linotype"/>
          <w:b/>
          <w:spacing w:val="-20"/>
        </w:rPr>
        <w:t>03528</w:t>
      </w:r>
      <w:r w:rsidRPr="00AE2201">
        <w:rPr>
          <w:rFonts w:ascii="Palatino Linotype" w:hAnsi="Palatino Linotype" w:cs="Arial"/>
          <w:b/>
          <w:bCs/>
          <w:spacing w:val="-20"/>
        </w:rPr>
        <w:t xml:space="preserve">/INFOEM/IP/RR/2018, </w:t>
      </w:r>
      <w:r w:rsidRPr="00AE2201">
        <w:rPr>
          <w:rFonts w:ascii="Palatino Linotype" w:hAnsi="Palatino Linotype"/>
          <w:b/>
          <w:spacing w:val="-20"/>
        </w:rPr>
        <w:t>03529</w:t>
      </w:r>
      <w:r w:rsidRPr="00AE2201">
        <w:rPr>
          <w:rFonts w:ascii="Palatino Linotype" w:hAnsi="Palatino Linotype" w:cs="Arial"/>
          <w:b/>
          <w:bCs/>
          <w:spacing w:val="-20"/>
        </w:rPr>
        <w:t xml:space="preserve">/INFOEM/IP/RR/2018, </w:t>
      </w:r>
      <w:r w:rsidRPr="00AE2201">
        <w:rPr>
          <w:rFonts w:ascii="Palatino Linotype" w:hAnsi="Palatino Linotype"/>
          <w:b/>
          <w:spacing w:val="-20"/>
        </w:rPr>
        <w:t>03530</w:t>
      </w:r>
      <w:r w:rsidRPr="00AE2201">
        <w:rPr>
          <w:rFonts w:ascii="Palatino Linotype" w:hAnsi="Palatino Linotype" w:cs="Arial"/>
          <w:b/>
          <w:bCs/>
          <w:spacing w:val="-20"/>
        </w:rPr>
        <w:t xml:space="preserve">/INFOEM/IP/RR/2018, </w:t>
      </w:r>
      <w:r w:rsidRPr="00AE2201">
        <w:rPr>
          <w:rFonts w:ascii="Palatino Linotype" w:hAnsi="Palatino Linotype"/>
          <w:b/>
          <w:spacing w:val="-20"/>
        </w:rPr>
        <w:t>03652/</w:t>
      </w:r>
      <w:r w:rsidRPr="00AE2201">
        <w:rPr>
          <w:rFonts w:ascii="Palatino Linotype" w:hAnsi="Palatino Linotype" w:cs="Arial"/>
          <w:b/>
          <w:bCs/>
          <w:spacing w:val="-20"/>
        </w:rPr>
        <w:t xml:space="preserve">INFOEM/IP/RR/2018, </w:t>
      </w:r>
      <w:r w:rsidRPr="00AE2201">
        <w:rPr>
          <w:rFonts w:ascii="Palatino Linotype" w:hAnsi="Palatino Linotype"/>
          <w:b/>
          <w:spacing w:val="-20"/>
        </w:rPr>
        <w:lastRenderedPageBreak/>
        <w:t>03653</w:t>
      </w:r>
      <w:r w:rsidRPr="00AE2201">
        <w:rPr>
          <w:rFonts w:ascii="Palatino Linotype" w:hAnsi="Palatino Linotype" w:cs="Arial"/>
          <w:b/>
          <w:bCs/>
          <w:spacing w:val="-20"/>
        </w:rPr>
        <w:t>/INFOEM/IP/RR/2018</w:t>
      </w:r>
      <w:r w:rsidRPr="00AE2201">
        <w:rPr>
          <w:rFonts w:ascii="Palatino Linotype" w:hAnsi="Palatino Linotype"/>
        </w:rPr>
        <w:t xml:space="preserve">, </w:t>
      </w:r>
      <w:r w:rsidRPr="00AE2201">
        <w:rPr>
          <w:rFonts w:ascii="Palatino Linotype" w:hAnsi="Palatino Linotype"/>
          <w:b/>
          <w:spacing w:val="-20"/>
        </w:rPr>
        <w:t>03654</w:t>
      </w:r>
      <w:r w:rsidRPr="00AE2201">
        <w:rPr>
          <w:rFonts w:ascii="Palatino Linotype" w:hAnsi="Palatino Linotype" w:cs="Arial"/>
          <w:b/>
          <w:bCs/>
          <w:spacing w:val="-20"/>
        </w:rPr>
        <w:t xml:space="preserve">/INFOEM/IP/RR/2018, </w:t>
      </w:r>
      <w:r w:rsidRPr="00AE2201">
        <w:rPr>
          <w:rFonts w:ascii="Palatino Linotype" w:hAnsi="Palatino Linotype" w:cs="Arial"/>
          <w:bCs/>
          <w:spacing w:val="-20"/>
        </w:rPr>
        <w:t>y</w:t>
      </w:r>
      <w:r w:rsidRPr="00AE2201">
        <w:rPr>
          <w:rFonts w:ascii="Palatino Linotype" w:hAnsi="Palatino Linotype" w:cs="Arial"/>
          <w:b/>
          <w:bCs/>
          <w:spacing w:val="-20"/>
        </w:rPr>
        <w:t xml:space="preserve"> </w:t>
      </w:r>
      <w:r w:rsidRPr="00AE2201">
        <w:rPr>
          <w:rFonts w:ascii="Palatino Linotype" w:hAnsi="Palatino Linotype"/>
          <w:b/>
          <w:spacing w:val="-20"/>
        </w:rPr>
        <w:t>03655</w:t>
      </w:r>
      <w:r w:rsidRPr="00AE2201">
        <w:rPr>
          <w:rFonts w:ascii="Palatino Linotype" w:hAnsi="Palatino Linotype" w:cs="Arial"/>
          <w:b/>
          <w:bCs/>
          <w:spacing w:val="-20"/>
        </w:rPr>
        <w:t xml:space="preserve">/INFOEM/IP/RR/2018, </w:t>
      </w:r>
      <w:r w:rsidRPr="00AE2201">
        <w:rPr>
          <w:rFonts w:ascii="Palatino Linotype" w:hAnsi="Palatino Linotype"/>
        </w:rPr>
        <w:t>a los  Comisionados</w:t>
      </w:r>
      <w:r w:rsidRPr="00AE2201">
        <w:rPr>
          <w:rFonts w:ascii="Palatino Linotype" w:hAnsi="Palatino Linotype" w:cs="Arial"/>
          <w:bCs/>
          <w:spacing w:val="-20"/>
        </w:rPr>
        <w:t xml:space="preserve"> </w:t>
      </w:r>
      <w:r w:rsidRPr="00AE2201">
        <w:rPr>
          <w:rFonts w:ascii="Palatino Linotype" w:hAnsi="Palatino Linotype" w:cs="Arial"/>
          <w:b/>
          <w:lang w:val="es-ES_tradnl"/>
        </w:rPr>
        <w:t xml:space="preserve">EVA ABAID YAPUR, JOSÉ GUADALUPE LUNA HERNÁNDEZ, JAVIER MARTÍNEZ CRUZ </w:t>
      </w:r>
      <w:r w:rsidRPr="00AE2201">
        <w:rPr>
          <w:rFonts w:ascii="Palatino Linotype" w:hAnsi="Palatino Linotype" w:cs="Arial"/>
          <w:lang w:val="es-ES_tradnl"/>
        </w:rPr>
        <w:t>y</w:t>
      </w:r>
      <w:r w:rsidRPr="00AE2201">
        <w:rPr>
          <w:rFonts w:ascii="Palatino Linotype" w:hAnsi="Palatino Linotype" w:cs="Arial"/>
          <w:b/>
          <w:lang w:val="es-ES_tradnl"/>
        </w:rPr>
        <w:t xml:space="preserve"> ZULEMA MARTÍNEZ SÁNCHEZ</w:t>
      </w:r>
      <w:r w:rsidRPr="00AE2201">
        <w:rPr>
          <w:rFonts w:ascii="Palatino Linotype" w:hAnsi="Palatino Linotype" w:cs="Arial"/>
          <w:lang w:val="es-ES_tradnl"/>
        </w:rPr>
        <w:t>, a efecto de que decretarán su admisión o desechamiento.</w:t>
      </w:r>
    </w:p>
    <w:p w:rsidR="00A46E1F" w:rsidRPr="00AE2201" w:rsidRDefault="00A46E1F" w:rsidP="00A46E1F">
      <w:pPr>
        <w:pStyle w:val="Prrafodelista"/>
        <w:spacing w:before="240" w:after="240" w:line="360" w:lineRule="auto"/>
        <w:ind w:left="0"/>
        <w:contextualSpacing w:val="0"/>
        <w:jc w:val="both"/>
        <w:rPr>
          <w:rFonts w:ascii="Palatino Linotype" w:hAnsi="Palatino Linotype" w:cs="Arial"/>
        </w:rPr>
      </w:pPr>
      <w:r w:rsidRPr="00AE2201">
        <w:rPr>
          <w:rFonts w:ascii="Palatino Linotype" w:hAnsi="Palatino Linotype" w:cs="Arial"/>
          <w:b/>
          <w:sz w:val="28"/>
          <w:szCs w:val="28"/>
        </w:rPr>
        <w:t>VI.</w:t>
      </w:r>
      <w:r w:rsidRPr="00AE2201">
        <w:rPr>
          <w:rFonts w:ascii="Palatino Linotype" w:hAnsi="Palatino Linotype" w:cs="Arial"/>
        </w:rPr>
        <w:t xml:space="preserve"> En fechas veintiocho de septiembre y tres de octubre de dos mil dieciocho, cada uno de los Comisionados Ponentes, atento a lo dispuesto en el </w:t>
      </w:r>
      <w:r w:rsidRPr="00AE2201">
        <w:rPr>
          <w:rFonts w:ascii="Palatino Linotype" w:hAnsi="Palatino Linotype" w:cs="Arial"/>
          <w:lang w:val="es-ES_tradnl"/>
        </w:rPr>
        <w:t>artículo</w:t>
      </w:r>
      <w:r w:rsidRPr="00AE2201">
        <w:rPr>
          <w:rFonts w:ascii="Palatino Linotype" w:hAnsi="Palatino Linotype" w:cs="Arial"/>
        </w:rPr>
        <w:t xml:space="preserve"> 185, fracciones I, II y IV </w:t>
      </w:r>
      <w:r w:rsidRPr="00AE2201">
        <w:rPr>
          <w:rFonts w:ascii="Palatino Linotype" w:hAnsi="Palatino Linotype" w:cs="Arial"/>
          <w:lang w:val="es-ES_tradnl"/>
        </w:rPr>
        <w:t xml:space="preserve">de la </w:t>
      </w:r>
      <w:r w:rsidRPr="00AE2201">
        <w:rPr>
          <w:rFonts w:ascii="Palatino Linotype" w:hAnsi="Palatino Linotype"/>
        </w:rPr>
        <w:t>Ley de Transparencia y Acceso a la Información Pública del Estado de México y Municipios, a</w:t>
      </w:r>
      <w:r w:rsidRPr="00AE2201">
        <w:rPr>
          <w:rFonts w:ascii="Palatino Linotype" w:hAnsi="Palatino Linotype" w:cs="Arial"/>
        </w:rPr>
        <w:t>cordaron, la admisión a trámite de los referidos recursos de revisión, así como la integración de los expedientes respectivos, mismos que se pusieron a disposición de las partes, para que en un plazo máximo de siete días hábiles, realizarán manifestaciones y ofrecieran las pruebas y alegatos que a su derecho conviniera o exhibieran el Informe Justificado, según fuera el caso.</w:t>
      </w:r>
    </w:p>
    <w:p w:rsidR="00A46E1F" w:rsidRPr="00AE2201" w:rsidRDefault="00A46E1F" w:rsidP="00A46E1F">
      <w:pPr>
        <w:pStyle w:val="Prrafodelista"/>
        <w:spacing w:before="240" w:after="240" w:line="360" w:lineRule="auto"/>
        <w:ind w:left="0"/>
        <w:contextualSpacing w:val="0"/>
        <w:jc w:val="both"/>
        <w:rPr>
          <w:rFonts w:ascii="Palatino Linotype" w:hAnsi="Palatino Linotype" w:cs="Arial"/>
        </w:rPr>
      </w:pPr>
      <w:r w:rsidRPr="00AE2201">
        <w:rPr>
          <w:rFonts w:ascii="Palatino Linotype" w:hAnsi="Palatino Linotype" w:cs="Arial"/>
          <w:b/>
          <w:sz w:val="28"/>
          <w:szCs w:val="28"/>
        </w:rPr>
        <w:t>VII.</w:t>
      </w:r>
      <w:r w:rsidRPr="00AE2201">
        <w:rPr>
          <w:rFonts w:ascii="Palatino Linotype" w:hAnsi="Palatino Linotype" w:cs="Arial"/>
        </w:rPr>
        <w:t xml:space="preserve"> </w:t>
      </w:r>
      <w:r w:rsidRPr="00AE2201">
        <w:rPr>
          <w:rFonts w:ascii="Palatino Linotype" w:hAnsi="Palatino Linotype" w:cs="Arial"/>
          <w:lang w:val="es-ES_tradnl"/>
        </w:rPr>
        <w:t xml:space="preserve">Por economía procesal y </w:t>
      </w:r>
      <w:r w:rsidRPr="00AE2201">
        <w:rPr>
          <w:rFonts w:ascii="Palatino Linotype" w:hAnsi="Palatino Linotype" w:cs="Arial"/>
        </w:rPr>
        <w:t xml:space="preserve">con la finalidad de evitar resoluciones contradictorias, en un primer momento </w:t>
      </w:r>
      <w:r w:rsidRPr="00AE2201">
        <w:rPr>
          <w:rFonts w:ascii="Palatino Linotype" w:hAnsi="Palatino Linotype"/>
        </w:rPr>
        <w:t xml:space="preserve">el Pleno de este Instituto </w:t>
      </w:r>
      <w:r w:rsidRPr="00AE2201">
        <w:rPr>
          <w:rFonts w:ascii="Palatino Linotype" w:hAnsi="Palatino Linotype" w:cs="Arial"/>
        </w:rPr>
        <w:t xml:space="preserve">determinó </w:t>
      </w:r>
      <w:r w:rsidRPr="00AE2201">
        <w:rPr>
          <w:rFonts w:ascii="Palatino Linotype" w:hAnsi="Palatino Linotype"/>
        </w:rPr>
        <w:t xml:space="preserve">acumular los recursos de revisión </w:t>
      </w:r>
      <w:r w:rsidRPr="00AE2201">
        <w:rPr>
          <w:rFonts w:ascii="Palatino Linotype" w:hAnsi="Palatino Linotype"/>
          <w:b/>
          <w:spacing w:val="-20"/>
        </w:rPr>
        <w:t>03528</w:t>
      </w:r>
      <w:r w:rsidRPr="00AE2201">
        <w:rPr>
          <w:rFonts w:ascii="Palatino Linotype" w:hAnsi="Palatino Linotype" w:cs="Arial"/>
          <w:b/>
          <w:bCs/>
          <w:spacing w:val="-20"/>
        </w:rPr>
        <w:t xml:space="preserve">/INFOEM/IP/RR/2018, </w:t>
      </w:r>
      <w:r w:rsidRPr="00AE2201">
        <w:rPr>
          <w:rFonts w:ascii="Palatino Linotype" w:hAnsi="Palatino Linotype"/>
          <w:b/>
          <w:spacing w:val="-20"/>
        </w:rPr>
        <w:t>03529</w:t>
      </w:r>
      <w:r w:rsidRPr="00AE2201">
        <w:rPr>
          <w:rFonts w:ascii="Palatino Linotype" w:hAnsi="Palatino Linotype" w:cs="Arial"/>
          <w:b/>
          <w:bCs/>
          <w:spacing w:val="-20"/>
        </w:rPr>
        <w:t xml:space="preserve">/INFOEM/IP/RR/2018, </w:t>
      </w:r>
      <w:r w:rsidRPr="00AE2201">
        <w:rPr>
          <w:rFonts w:ascii="Palatino Linotype" w:hAnsi="Palatino Linotype"/>
          <w:b/>
          <w:spacing w:val="-20"/>
        </w:rPr>
        <w:t>03530</w:t>
      </w:r>
      <w:r w:rsidRPr="00AE2201">
        <w:rPr>
          <w:rFonts w:ascii="Palatino Linotype" w:hAnsi="Palatino Linotype" w:cs="Arial"/>
          <w:b/>
          <w:bCs/>
          <w:spacing w:val="-20"/>
        </w:rPr>
        <w:t xml:space="preserve">/INFOEM/IP/RR/2018,  </w:t>
      </w:r>
      <w:r w:rsidRPr="00AE2201">
        <w:rPr>
          <w:rFonts w:ascii="Palatino Linotype" w:hAnsi="Palatino Linotype" w:cs="Arial"/>
        </w:rPr>
        <w:t xml:space="preserve">en </w:t>
      </w:r>
      <w:r w:rsidRPr="00AE2201">
        <w:rPr>
          <w:rFonts w:ascii="Palatino Linotype" w:hAnsi="Palatino Linotype"/>
        </w:rPr>
        <w:t xml:space="preserve">la Trigésima Quinta Sesión Ordinaria de fecha veintiséis de septiembre de dos mil dieciocho, al diverso </w:t>
      </w:r>
      <w:r w:rsidRPr="00AE2201">
        <w:rPr>
          <w:rFonts w:ascii="Palatino Linotype" w:hAnsi="Palatino Linotype"/>
          <w:b/>
          <w:spacing w:val="-20"/>
        </w:rPr>
        <w:t>03527</w:t>
      </w:r>
      <w:r w:rsidRPr="00AE2201">
        <w:rPr>
          <w:rFonts w:ascii="Palatino Linotype" w:hAnsi="Palatino Linotype" w:cs="Arial"/>
          <w:b/>
          <w:bCs/>
          <w:spacing w:val="-20"/>
        </w:rPr>
        <w:t xml:space="preserve">/INFOEM/IP/RR/2018,   </w:t>
      </w:r>
      <w:r w:rsidRPr="00AE2201">
        <w:rPr>
          <w:rFonts w:ascii="Palatino Linotype" w:hAnsi="Palatino Linotype"/>
        </w:rPr>
        <w:t xml:space="preserve">acordando su resolución por parte de la Comisionada </w:t>
      </w:r>
      <w:r w:rsidRPr="00AE2201">
        <w:rPr>
          <w:rFonts w:ascii="Palatino Linotype" w:hAnsi="Palatino Linotype"/>
          <w:b/>
        </w:rPr>
        <w:t>EVA ABAID YAPUR</w:t>
      </w:r>
      <w:r w:rsidRPr="00AE2201">
        <w:rPr>
          <w:rFonts w:ascii="Palatino Linotype" w:hAnsi="Palatino Linotype" w:cs="Arial"/>
        </w:rPr>
        <w:t>.</w:t>
      </w:r>
    </w:p>
    <w:p w:rsidR="00A46E1F" w:rsidRPr="00AE2201" w:rsidRDefault="00A46E1F" w:rsidP="00A46E1F">
      <w:pPr>
        <w:pStyle w:val="Prrafodelista"/>
        <w:spacing w:before="240" w:after="240" w:line="360" w:lineRule="auto"/>
        <w:ind w:left="0"/>
        <w:contextualSpacing w:val="0"/>
        <w:jc w:val="both"/>
        <w:rPr>
          <w:rFonts w:ascii="Palatino Linotype" w:hAnsi="Palatino Linotype" w:cs="Arial"/>
        </w:rPr>
      </w:pPr>
      <w:r w:rsidRPr="00AE2201">
        <w:rPr>
          <w:rFonts w:ascii="Palatino Linotype" w:hAnsi="Palatino Linotype" w:cs="Arial"/>
        </w:rPr>
        <w:t xml:space="preserve">Mientras que, en </w:t>
      </w:r>
      <w:r w:rsidRPr="00AE2201">
        <w:rPr>
          <w:rFonts w:ascii="Palatino Linotype" w:hAnsi="Palatino Linotype"/>
        </w:rPr>
        <w:t xml:space="preserve">la Trigésima Sexta Sesión Ordinaria de fecha tres de octubre de dos mil dieciocho, el Pleno de este Instituto </w:t>
      </w:r>
      <w:r w:rsidRPr="00AE2201">
        <w:rPr>
          <w:rFonts w:ascii="Palatino Linotype" w:hAnsi="Palatino Linotype" w:cs="Arial"/>
        </w:rPr>
        <w:t xml:space="preserve">determinó </w:t>
      </w:r>
      <w:r w:rsidRPr="00AE2201">
        <w:rPr>
          <w:rFonts w:ascii="Palatino Linotype" w:hAnsi="Palatino Linotype"/>
        </w:rPr>
        <w:t xml:space="preserve">acumular los recursos de revisión </w:t>
      </w:r>
      <w:r w:rsidRPr="00AE2201">
        <w:rPr>
          <w:rFonts w:ascii="Palatino Linotype" w:hAnsi="Palatino Linotype"/>
          <w:b/>
          <w:spacing w:val="-20"/>
        </w:rPr>
        <w:t>03652/</w:t>
      </w:r>
      <w:r w:rsidRPr="00AE2201">
        <w:rPr>
          <w:rFonts w:ascii="Palatino Linotype" w:hAnsi="Palatino Linotype" w:cs="Arial"/>
          <w:b/>
          <w:bCs/>
          <w:spacing w:val="-20"/>
        </w:rPr>
        <w:t xml:space="preserve">INFOEM/IP/RR/2018, </w:t>
      </w:r>
      <w:r w:rsidRPr="00AE2201">
        <w:rPr>
          <w:rFonts w:ascii="Palatino Linotype" w:hAnsi="Palatino Linotype"/>
          <w:b/>
          <w:spacing w:val="-20"/>
        </w:rPr>
        <w:t>03653</w:t>
      </w:r>
      <w:r w:rsidRPr="00AE2201">
        <w:rPr>
          <w:rFonts w:ascii="Palatino Linotype" w:hAnsi="Palatino Linotype" w:cs="Arial"/>
          <w:b/>
          <w:bCs/>
          <w:spacing w:val="-20"/>
        </w:rPr>
        <w:t>/INFOEM/IP/RR/2018</w:t>
      </w:r>
      <w:r w:rsidRPr="00AE2201">
        <w:rPr>
          <w:rFonts w:ascii="Palatino Linotype" w:hAnsi="Palatino Linotype"/>
        </w:rPr>
        <w:t xml:space="preserve">, </w:t>
      </w:r>
      <w:r w:rsidRPr="00AE2201">
        <w:rPr>
          <w:rFonts w:ascii="Palatino Linotype" w:hAnsi="Palatino Linotype"/>
          <w:b/>
          <w:spacing w:val="-20"/>
        </w:rPr>
        <w:t>03654</w:t>
      </w:r>
      <w:r w:rsidRPr="00AE2201">
        <w:rPr>
          <w:rFonts w:ascii="Palatino Linotype" w:hAnsi="Palatino Linotype" w:cs="Arial"/>
          <w:b/>
          <w:bCs/>
          <w:spacing w:val="-20"/>
        </w:rPr>
        <w:t xml:space="preserve">/INFOEM/IP/RR/2018, </w:t>
      </w:r>
      <w:r w:rsidRPr="00AE2201">
        <w:rPr>
          <w:rFonts w:ascii="Palatino Linotype" w:hAnsi="Palatino Linotype" w:cs="Arial"/>
          <w:bCs/>
          <w:spacing w:val="-20"/>
        </w:rPr>
        <w:t>y</w:t>
      </w:r>
      <w:r w:rsidRPr="00AE2201">
        <w:rPr>
          <w:rFonts w:ascii="Palatino Linotype" w:hAnsi="Palatino Linotype" w:cs="Arial"/>
          <w:b/>
          <w:bCs/>
          <w:spacing w:val="-20"/>
        </w:rPr>
        <w:t xml:space="preserve"> </w:t>
      </w:r>
      <w:r w:rsidRPr="00AE2201">
        <w:rPr>
          <w:rFonts w:ascii="Palatino Linotype" w:hAnsi="Palatino Linotype"/>
          <w:b/>
          <w:spacing w:val="-20"/>
        </w:rPr>
        <w:lastRenderedPageBreak/>
        <w:t>03655</w:t>
      </w:r>
      <w:r w:rsidRPr="00AE2201">
        <w:rPr>
          <w:rFonts w:ascii="Palatino Linotype" w:hAnsi="Palatino Linotype" w:cs="Arial"/>
          <w:b/>
          <w:bCs/>
          <w:spacing w:val="-20"/>
        </w:rPr>
        <w:t xml:space="preserve">/INFOEM/IP/RR/2018, </w:t>
      </w:r>
      <w:r w:rsidRPr="00AE2201">
        <w:rPr>
          <w:rFonts w:ascii="Palatino Linotype" w:hAnsi="Palatino Linotype" w:cs="Arial"/>
        </w:rPr>
        <w:t>a los ya acumulados</w:t>
      </w:r>
      <w:r w:rsidRPr="00AE2201">
        <w:rPr>
          <w:rFonts w:ascii="Palatino Linotype" w:hAnsi="Palatino Linotype" w:cs="Arial"/>
          <w:bCs/>
          <w:spacing w:val="-20"/>
        </w:rPr>
        <w:t xml:space="preserve"> </w:t>
      </w:r>
      <w:r w:rsidRPr="00AE2201">
        <w:rPr>
          <w:rFonts w:ascii="Palatino Linotype" w:hAnsi="Palatino Linotype"/>
          <w:b/>
          <w:spacing w:val="-20"/>
        </w:rPr>
        <w:t>03527</w:t>
      </w:r>
      <w:r w:rsidRPr="00AE2201">
        <w:rPr>
          <w:rFonts w:ascii="Palatino Linotype" w:hAnsi="Palatino Linotype" w:cs="Arial"/>
          <w:b/>
          <w:bCs/>
          <w:spacing w:val="-20"/>
        </w:rPr>
        <w:t xml:space="preserve">/INFOEM/IP/RR/2018, </w:t>
      </w:r>
      <w:r w:rsidRPr="00AE2201">
        <w:rPr>
          <w:rFonts w:ascii="Palatino Linotype" w:hAnsi="Palatino Linotype"/>
          <w:b/>
          <w:spacing w:val="-20"/>
        </w:rPr>
        <w:t>03528</w:t>
      </w:r>
      <w:r w:rsidRPr="00AE2201">
        <w:rPr>
          <w:rFonts w:ascii="Palatino Linotype" w:hAnsi="Palatino Linotype" w:cs="Arial"/>
          <w:b/>
          <w:bCs/>
          <w:spacing w:val="-20"/>
        </w:rPr>
        <w:t xml:space="preserve">/INFOEM/IP/RR/2018, </w:t>
      </w:r>
      <w:r w:rsidRPr="00AE2201">
        <w:rPr>
          <w:rFonts w:ascii="Palatino Linotype" w:hAnsi="Palatino Linotype"/>
          <w:b/>
          <w:spacing w:val="-20"/>
        </w:rPr>
        <w:t>03529</w:t>
      </w:r>
      <w:r w:rsidRPr="00AE2201">
        <w:rPr>
          <w:rFonts w:ascii="Palatino Linotype" w:hAnsi="Palatino Linotype" w:cs="Arial"/>
          <w:b/>
          <w:bCs/>
          <w:spacing w:val="-20"/>
        </w:rPr>
        <w:t xml:space="preserve">/INFOEM/IP/RR/2018, </w:t>
      </w:r>
      <w:r w:rsidRPr="00AE2201">
        <w:rPr>
          <w:rFonts w:ascii="Palatino Linotype" w:hAnsi="Palatino Linotype"/>
          <w:b/>
          <w:spacing w:val="-20"/>
        </w:rPr>
        <w:t>03530</w:t>
      </w:r>
      <w:r w:rsidRPr="00AE2201">
        <w:rPr>
          <w:rFonts w:ascii="Palatino Linotype" w:hAnsi="Palatino Linotype" w:cs="Arial"/>
          <w:b/>
          <w:bCs/>
          <w:spacing w:val="-20"/>
        </w:rPr>
        <w:t xml:space="preserve">/INFOEM/IP/RR/2018, </w:t>
      </w:r>
      <w:r w:rsidRPr="00AE2201">
        <w:rPr>
          <w:rFonts w:ascii="Palatino Linotype" w:hAnsi="Palatino Linotype"/>
        </w:rPr>
        <w:t>de igual manera acordando su resolución por parte de la Comisionada Ponente.</w:t>
      </w:r>
    </w:p>
    <w:p w:rsidR="00A46E1F" w:rsidRPr="00AE2201" w:rsidRDefault="00A46E1F" w:rsidP="00A46E1F">
      <w:pPr>
        <w:pStyle w:val="Prrafodelista"/>
        <w:spacing w:before="240" w:after="240" w:line="360" w:lineRule="auto"/>
        <w:ind w:left="0"/>
        <w:contextualSpacing w:val="0"/>
        <w:jc w:val="both"/>
        <w:rPr>
          <w:rFonts w:ascii="Palatino Linotype" w:hAnsi="Palatino Linotype" w:cs="Arial"/>
          <w:lang w:val="es-ES_tradnl"/>
        </w:rPr>
      </w:pPr>
      <w:r w:rsidRPr="00AE2201">
        <w:rPr>
          <w:rFonts w:ascii="Palatino Linotype" w:hAnsi="Palatino Linotype" w:cs="Arial"/>
          <w:b/>
          <w:noProof/>
          <w:sz w:val="28"/>
          <w:szCs w:val="28"/>
          <w:lang w:val="es-MX" w:eastAsia="es-MX"/>
        </w:rPr>
        <mc:AlternateContent>
          <mc:Choice Requires="wps">
            <w:drawing>
              <wp:anchor distT="0" distB="0" distL="114300" distR="114300" simplePos="0" relativeHeight="251659264" behindDoc="0" locked="0" layoutInCell="1" allowOverlap="1" wp14:anchorId="0155B91E" wp14:editId="50AB5398">
                <wp:simplePos x="0" y="0"/>
                <wp:positionH relativeFrom="column">
                  <wp:posOffset>6456</wp:posOffset>
                </wp:positionH>
                <wp:positionV relativeFrom="paragraph">
                  <wp:posOffset>4636077</wp:posOffset>
                </wp:positionV>
                <wp:extent cx="5824847" cy="1335974"/>
                <wp:effectExtent l="19050" t="19050" r="24130" b="36195"/>
                <wp:wrapNone/>
                <wp:docPr id="8" name="Conector recto 8"/>
                <wp:cNvGraphicFramePr/>
                <a:graphic xmlns:a="http://schemas.openxmlformats.org/drawingml/2006/main">
                  <a:graphicData uri="http://schemas.microsoft.com/office/word/2010/wordprocessingShape">
                    <wps:wsp>
                      <wps:cNvCnPr/>
                      <wps:spPr>
                        <a:xfrm>
                          <a:off x="0" y="0"/>
                          <a:ext cx="5824847" cy="1335974"/>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AA6DEB" id="Conector recto 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365.05pt" to="459.15pt,47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" strokecolor="#5b9bd5 [3204]" strokeweight="2.25pt">
                <v:stroke joinstyle="miter"/>
              </v:line>
            </w:pict>
          </mc:Fallback>
        </mc:AlternateContent>
      </w:r>
      <w:r w:rsidRPr="00AE2201">
        <w:rPr>
          <w:rFonts w:ascii="Palatino Linotype" w:hAnsi="Palatino Linotype" w:cs="Arial"/>
          <w:b/>
          <w:sz w:val="28"/>
          <w:szCs w:val="28"/>
          <w:lang w:val="es-ES_tradnl"/>
        </w:rPr>
        <w:t>VIII.</w:t>
      </w:r>
      <w:r w:rsidRPr="00AE2201">
        <w:rPr>
          <w:rFonts w:ascii="Palatino Linotype" w:hAnsi="Palatino Linotype" w:cs="Arial"/>
          <w:lang w:val="es-ES_tradnl"/>
        </w:rPr>
        <w:t xml:space="preserve"> </w:t>
      </w:r>
      <w:r w:rsidRPr="00AE2201">
        <w:rPr>
          <w:rFonts w:ascii="Palatino Linotype" w:hAnsi="Palatino Linotype" w:cs="Arial"/>
        </w:rPr>
        <w:t>De</w:t>
      </w:r>
      <w:r w:rsidRPr="00AE2201">
        <w:rPr>
          <w:rFonts w:ascii="Palatino Linotype" w:hAnsi="Palatino Linotype" w:cs="Arial"/>
          <w:lang w:val="es-ES_tradnl"/>
        </w:rPr>
        <w:t xml:space="preserve"> las constancias que obran en los expedientes electrónicos del </w:t>
      </w:r>
      <w:r w:rsidRPr="00AE2201">
        <w:rPr>
          <w:rFonts w:ascii="Palatino Linotype" w:hAnsi="Palatino Linotype" w:cs="Arial"/>
          <w:b/>
          <w:lang w:val="es-ES_tradnl"/>
        </w:rPr>
        <w:t>SAIMEX</w:t>
      </w:r>
      <w:r w:rsidRPr="00AE2201">
        <w:rPr>
          <w:rFonts w:ascii="Palatino Linotype" w:hAnsi="Palatino Linotype" w:cs="Arial"/>
          <w:lang w:val="es-ES_tradnl"/>
        </w:rPr>
        <w:t>, este Órgano Garante advierte que</w:t>
      </w:r>
      <w:r w:rsidRPr="00AE2201">
        <w:rPr>
          <w:rFonts w:ascii="Palatino Linotype" w:hAnsi="Palatino Linotype" w:cs="Arial"/>
          <w:b/>
          <w:lang w:val="es-ES_tradnl"/>
        </w:rPr>
        <w:t xml:space="preserve"> EL RECURRENTE</w:t>
      </w:r>
      <w:r w:rsidRPr="00AE2201">
        <w:rPr>
          <w:rFonts w:ascii="Palatino Linotype" w:hAnsi="Palatino Linotype" w:cs="Arial"/>
          <w:lang w:val="es-ES_tradnl"/>
        </w:rPr>
        <w:t xml:space="preserve"> no </w:t>
      </w:r>
      <w:r w:rsidRPr="00AE2201">
        <w:rPr>
          <w:rFonts w:ascii="Palatino Linotype" w:hAnsi="Palatino Linotype" w:cs="Arial"/>
        </w:rPr>
        <w:t>presentó</w:t>
      </w:r>
      <w:r w:rsidRPr="00AE2201">
        <w:rPr>
          <w:rFonts w:ascii="Palatino Linotype" w:hAnsi="Palatino Linotype" w:cs="Arial"/>
          <w:lang w:val="es-ES_tradnl"/>
        </w:rPr>
        <w:t xml:space="preserve"> manifestaciones y alegatos, ni ofreció los medios de prueba que a su derecho convinieran. Por su parte en fechas cuatro y nueve de octubre de dos mil dieciocho,</w:t>
      </w:r>
      <w:r w:rsidRPr="00AE2201">
        <w:rPr>
          <w:rFonts w:ascii="Palatino Linotype" w:hAnsi="Palatino Linotype" w:cs="Arial"/>
          <w:b/>
          <w:lang w:val="es-ES_tradnl"/>
        </w:rPr>
        <w:t xml:space="preserve"> EL SUJETO OBLIGADO</w:t>
      </w:r>
      <w:r w:rsidRPr="00AE2201">
        <w:rPr>
          <w:rFonts w:ascii="Palatino Linotype" w:hAnsi="Palatino Linotype" w:cs="Arial"/>
          <w:lang w:val="es-ES_tradnl"/>
        </w:rPr>
        <w:t xml:space="preserve"> exhibió los Informes Justificados correspondientes a cada uno de los recursos de revisión en estudio, a través de cuales esencialmente ratificó sus respuestas y toda vez que, en todos los recursos de revisión anexó el formato de solicitud de información, el formato de interposición del recurso de revisión del que se trate, la respuesta otorgada a las solicitudes y las Actas emitidas por su Comité de Transparencia mediante las cuales clasifica como reservada la información solicitada y el Informe Justificado correspondiente; por lo que, al no modificar en esencia sus manifestaciones sino únicamente el número de solicitudes y de recursos de revisión que corresponda, es por ello que, a continuación se inserta únicamente el Informe Justificado y el Acta del Comité de Transparencia del recurso de revisión </w:t>
      </w:r>
      <w:r w:rsidRPr="00AE2201">
        <w:rPr>
          <w:rFonts w:ascii="Palatino Linotype" w:hAnsi="Palatino Linotype"/>
          <w:b/>
          <w:spacing w:val="-20"/>
        </w:rPr>
        <w:t>03527</w:t>
      </w:r>
      <w:r w:rsidRPr="00AE2201">
        <w:rPr>
          <w:rFonts w:ascii="Palatino Linotype" w:hAnsi="Palatino Linotype" w:cs="Arial"/>
          <w:b/>
          <w:bCs/>
          <w:spacing w:val="-20"/>
        </w:rPr>
        <w:t>/INFOEM/IP/RR/2018</w:t>
      </w:r>
      <w:r w:rsidRPr="00AE2201">
        <w:rPr>
          <w:rFonts w:ascii="Palatino Linotype" w:hAnsi="Palatino Linotype" w:cs="Arial"/>
          <w:lang w:val="es-ES_tradnl"/>
        </w:rPr>
        <w:t>, a fin de que sea de conocimiento del particular:</w:t>
      </w:r>
    </w:p>
    <w:p w:rsidR="00A46E1F" w:rsidRPr="00AE2201" w:rsidRDefault="00A46E1F" w:rsidP="00A46E1F">
      <w:pPr>
        <w:pStyle w:val="Prrafodelista"/>
        <w:spacing w:before="240" w:after="240" w:line="360" w:lineRule="auto"/>
        <w:ind w:left="0"/>
        <w:contextualSpacing w:val="0"/>
        <w:jc w:val="center"/>
        <w:rPr>
          <w:rFonts w:ascii="Palatino Linotype" w:hAnsi="Palatino Linotype" w:cs="Arial"/>
          <w:lang w:val="es-ES_tradnl"/>
        </w:rPr>
      </w:pPr>
      <w:r w:rsidRPr="00AE2201">
        <w:rPr>
          <w:noProof/>
          <w:lang w:val="es-MX" w:eastAsia="es-MX"/>
        </w:rPr>
        <w:lastRenderedPageBreak/>
        <w:drawing>
          <wp:inline distT="0" distB="0" distL="0" distR="0" wp14:anchorId="57B2C1B0" wp14:editId="7FBD6F93">
            <wp:extent cx="4281054" cy="2076097"/>
            <wp:effectExtent l="0" t="0" r="5715"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159" t="16346" r="19933" b="19499"/>
                    <a:stretch/>
                  </pic:blipFill>
                  <pic:spPr bwMode="auto">
                    <a:xfrm>
                      <a:off x="0" y="0"/>
                      <a:ext cx="4313994" cy="2092071"/>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C4320D" w:rsidP="00A46E1F">
      <w:pPr>
        <w:pStyle w:val="Prrafodelista"/>
        <w:spacing w:before="240" w:after="240" w:line="360" w:lineRule="auto"/>
        <w:ind w:left="0"/>
        <w:contextualSpacing w:val="0"/>
        <w:jc w:val="center"/>
        <w:rPr>
          <w:rFonts w:ascii="Palatino Linotype" w:hAnsi="Palatino Linotype" w:cs="Arial"/>
          <w:lang w:val="es-ES_tradnl"/>
        </w:rPr>
      </w:pPr>
      <w:r>
        <w:rPr>
          <w:noProof/>
        </w:rPr>
        <w:drawing>
          <wp:inline distT="0" distB="0" distL="0" distR="0" wp14:anchorId="0CABEE15" wp14:editId="4CA7B64C">
            <wp:extent cx="4372258" cy="4600049"/>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837" t="22211" r="31716" b="11495"/>
                    <a:stretch/>
                  </pic:blipFill>
                  <pic:spPr bwMode="auto">
                    <a:xfrm>
                      <a:off x="0" y="0"/>
                      <a:ext cx="4393592" cy="4622495"/>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A46E1F" w:rsidP="00A46E1F">
      <w:pPr>
        <w:pStyle w:val="Prrafodelista"/>
        <w:spacing w:before="240" w:after="240" w:line="360" w:lineRule="auto"/>
        <w:ind w:left="0"/>
        <w:contextualSpacing w:val="0"/>
        <w:jc w:val="center"/>
        <w:rPr>
          <w:rFonts w:ascii="Palatino Linotype" w:hAnsi="Palatino Linotype" w:cs="Arial"/>
          <w:lang w:val="es-ES_tradnl"/>
        </w:rPr>
      </w:pPr>
      <w:r w:rsidRPr="00AE2201">
        <w:rPr>
          <w:noProof/>
          <w:lang w:val="es-MX" w:eastAsia="es-MX"/>
        </w:rPr>
        <w:lastRenderedPageBreak/>
        <w:drawing>
          <wp:inline distT="0" distB="0" distL="0" distR="0" wp14:anchorId="5E5EF879" wp14:editId="7C6F1930">
            <wp:extent cx="5357495" cy="6717323"/>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141" t="13261" r="34681" b="17493"/>
                    <a:stretch/>
                  </pic:blipFill>
                  <pic:spPr bwMode="auto">
                    <a:xfrm>
                      <a:off x="0" y="0"/>
                      <a:ext cx="5382589" cy="6748786"/>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A46E1F" w:rsidP="00A46E1F">
      <w:pPr>
        <w:pStyle w:val="Prrafodelista"/>
        <w:spacing w:before="240" w:after="240" w:line="360" w:lineRule="auto"/>
        <w:ind w:left="0"/>
        <w:contextualSpacing w:val="0"/>
        <w:jc w:val="center"/>
        <w:rPr>
          <w:rFonts w:ascii="Palatino Linotype" w:hAnsi="Palatino Linotype" w:cs="Arial"/>
          <w:lang w:val="es-ES_tradnl"/>
        </w:rPr>
      </w:pPr>
      <w:r w:rsidRPr="00AE2201">
        <w:rPr>
          <w:noProof/>
          <w:lang w:val="es-MX" w:eastAsia="es-MX"/>
        </w:rPr>
        <w:lastRenderedPageBreak/>
        <w:drawing>
          <wp:inline distT="0" distB="0" distL="0" distR="0" wp14:anchorId="4D264178" wp14:editId="4FAA7C53">
            <wp:extent cx="5377815" cy="684795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3142" t="8789" r="34855" b="21963"/>
                    <a:stretch/>
                  </pic:blipFill>
                  <pic:spPr bwMode="auto">
                    <a:xfrm>
                      <a:off x="0" y="0"/>
                      <a:ext cx="5394540" cy="6869249"/>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A46E1F" w:rsidP="00A46E1F">
      <w:pPr>
        <w:pStyle w:val="Prrafodelista"/>
        <w:spacing w:before="240" w:after="240" w:line="360" w:lineRule="auto"/>
        <w:ind w:left="0"/>
        <w:contextualSpacing w:val="0"/>
        <w:jc w:val="center"/>
        <w:rPr>
          <w:rFonts w:ascii="Palatino Linotype" w:hAnsi="Palatino Linotype" w:cs="Arial"/>
          <w:lang w:val="es-ES_tradnl"/>
        </w:rPr>
      </w:pPr>
      <w:r w:rsidRPr="00AE2201">
        <w:rPr>
          <w:noProof/>
          <w:lang w:val="es-MX" w:eastAsia="es-MX"/>
        </w:rPr>
        <w:lastRenderedPageBreak/>
        <w:drawing>
          <wp:inline distT="0" distB="0" distL="0" distR="0" wp14:anchorId="5A704CEC" wp14:editId="2143F299">
            <wp:extent cx="5246370" cy="6802734"/>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3053" t="14649" r="34333" b="15954"/>
                    <a:stretch/>
                  </pic:blipFill>
                  <pic:spPr bwMode="auto">
                    <a:xfrm>
                      <a:off x="0" y="0"/>
                      <a:ext cx="5263224" cy="6824588"/>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A46E1F" w:rsidP="00A46E1F">
      <w:pPr>
        <w:pStyle w:val="Prrafodelista"/>
        <w:spacing w:before="240" w:after="240" w:line="360" w:lineRule="auto"/>
        <w:ind w:left="0"/>
        <w:contextualSpacing w:val="0"/>
        <w:jc w:val="center"/>
        <w:rPr>
          <w:rFonts w:ascii="Palatino Linotype" w:hAnsi="Palatino Linotype" w:cs="Arial"/>
          <w:lang w:val="es-ES_tradnl"/>
        </w:rPr>
      </w:pPr>
      <w:r w:rsidRPr="00AE2201">
        <w:rPr>
          <w:noProof/>
          <w:lang w:val="es-MX" w:eastAsia="es-MX"/>
        </w:rPr>
        <w:lastRenderedPageBreak/>
        <w:drawing>
          <wp:inline distT="0" distB="0" distL="0" distR="0" wp14:anchorId="46BE8A88" wp14:editId="16D57107">
            <wp:extent cx="5323030" cy="6697226"/>
            <wp:effectExtent l="0" t="0" r="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230" t="20663" r="34247" b="10858"/>
                    <a:stretch/>
                  </pic:blipFill>
                  <pic:spPr bwMode="auto">
                    <a:xfrm>
                      <a:off x="0" y="0"/>
                      <a:ext cx="5344982" cy="6724845"/>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A46E1F" w:rsidP="00A46E1F">
      <w:pPr>
        <w:pStyle w:val="Prrafodelista"/>
        <w:spacing w:before="240" w:after="240" w:line="360" w:lineRule="auto"/>
        <w:ind w:left="0"/>
        <w:contextualSpacing w:val="0"/>
        <w:jc w:val="center"/>
        <w:rPr>
          <w:rFonts w:ascii="Palatino Linotype" w:hAnsi="Palatino Linotype" w:cs="Arial"/>
          <w:lang w:val="es-ES_tradnl"/>
        </w:rPr>
      </w:pPr>
      <w:r w:rsidRPr="00AE2201">
        <w:rPr>
          <w:noProof/>
          <w:lang w:val="es-MX" w:eastAsia="es-MX"/>
        </w:rPr>
        <w:lastRenderedPageBreak/>
        <w:drawing>
          <wp:inline distT="0" distB="0" distL="0" distR="0" wp14:anchorId="155DE96B" wp14:editId="4ED07979">
            <wp:extent cx="5290820" cy="6626888"/>
            <wp:effectExtent l="0" t="0" r="508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319" t="20200" r="32945" b="6390"/>
                    <a:stretch/>
                  </pic:blipFill>
                  <pic:spPr bwMode="auto">
                    <a:xfrm>
                      <a:off x="0" y="0"/>
                      <a:ext cx="5310955" cy="6652108"/>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A46E1F" w:rsidP="00A46E1F">
      <w:pPr>
        <w:pStyle w:val="Prrafodelista"/>
        <w:spacing w:before="240" w:after="240" w:line="360" w:lineRule="auto"/>
        <w:ind w:left="0"/>
        <w:contextualSpacing w:val="0"/>
        <w:jc w:val="center"/>
        <w:rPr>
          <w:rFonts w:ascii="Palatino Linotype" w:hAnsi="Palatino Linotype" w:cs="Arial"/>
          <w:lang w:val="es-ES_tradnl"/>
        </w:rPr>
      </w:pPr>
      <w:r w:rsidRPr="00AE2201">
        <w:rPr>
          <w:noProof/>
          <w:lang w:val="es-MX" w:eastAsia="es-MX"/>
        </w:rPr>
        <w:lastRenderedPageBreak/>
        <w:drawing>
          <wp:inline distT="0" distB="0" distL="0" distR="0" wp14:anchorId="2ED0FB5D" wp14:editId="2247E18C">
            <wp:extent cx="3411415" cy="23482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0971" t="26985" r="32512" b="18730"/>
                    <a:stretch/>
                  </pic:blipFill>
                  <pic:spPr bwMode="auto">
                    <a:xfrm>
                      <a:off x="0" y="0"/>
                      <a:ext cx="3459609" cy="2381374"/>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C4320D" w:rsidP="00A46E1F">
      <w:pPr>
        <w:pStyle w:val="Prrafodelista"/>
        <w:spacing w:before="240" w:after="240" w:line="360" w:lineRule="auto"/>
        <w:ind w:left="0"/>
        <w:contextualSpacing w:val="0"/>
        <w:jc w:val="center"/>
        <w:rPr>
          <w:rFonts w:ascii="Palatino Linotype" w:hAnsi="Palatino Linotype" w:cs="Arial"/>
          <w:lang w:val="es-ES_tradnl"/>
        </w:rPr>
      </w:pPr>
      <w:r>
        <w:rPr>
          <w:noProof/>
        </w:rPr>
        <w:drawing>
          <wp:inline distT="0" distB="0" distL="0" distR="0" wp14:anchorId="2C8F4558" wp14:editId="54C9A0C3">
            <wp:extent cx="3793606" cy="4398096"/>
            <wp:effectExtent l="0" t="0" r="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549" t="13602" r="31522" b="12351"/>
                    <a:stretch/>
                  </pic:blipFill>
                  <pic:spPr bwMode="auto">
                    <a:xfrm>
                      <a:off x="0" y="0"/>
                      <a:ext cx="3802111" cy="4407957"/>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1C6E2A" w:rsidP="00A46E1F">
      <w:pPr>
        <w:pStyle w:val="Prrafodelista"/>
        <w:spacing w:before="240" w:after="240" w:line="360" w:lineRule="auto"/>
        <w:ind w:left="0"/>
        <w:contextualSpacing w:val="0"/>
        <w:jc w:val="center"/>
        <w:rPr>
          <w:rFonts w:ascii="Palatino Linotype" w:hAnsi="Palatino Linotype" w:cs="Arial"/>
          <w:lang w:val="es-ES_tradnl"/>
        </w:rPr>
      </w:pPr>
      <w:r>
        <w:rPr>
          <w:noProof/>
        </w:rPr>
        <w:lastRenderedPageBreak/>
        <w:drawing>
          <wp:inline distT="0" distB="0" distL="0" distR="0" wp14:anchorId="0F0812B9" wp14:editId="61A6A01F">
            <wp:extent cx="5415321" cy="6636412"/>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2163" t="13430" r="32975" b="10624"/>
                    <a:stretch/>
                  </pic:blipFill>
                  <pic:spPr bwMode="auto">
                    <a:xfrm>
                      <a:off x="0" y="0"/>
                      <a:ext cx="5432669" cy="6657672"/>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1C6E2A" w:rsidP="00A46E1F">
      <w:pPr>
        <w:pStyle w:val="Prrafodelista"/>
        <w:spacing w:before="240" w:after="240" w:line="360" w:lineRule="auto"/>
        <w:ind w:left="0"/>
        <w:contextualSpacing w:val="0"/>
        <w:jc w:val="center"/>
        <w:rPr>
          <w:rFonts w:ascii="Palatino Linotype" w:hAnsi="Palatino Linotype" w:cs="Arial"/>
          <w:lang w:val="es-ES_tradnl"/>
        </w:rPr>
      </w:pPr>
      <w:r>
        <w:rPr>
          <w:noProof/>
        </w:rPr>
        <w:lastRenderedPageBreak/>
        <w:drawing>
          <wp:inline distT="0" distB="0" distL="0" distR="0" wp14:anchorId="597ADF17" wp14:editId="6421289D">
            <wp:extent cx="5570383" cy="6787877"/>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2258" t="10847" r="32684" b="13213"/>
                    <a:stretch/>
                  </pic:blipFill>
                  <pic:spPr bwMode="auto">
                    <a:xfrm>
                      <a:off x="0" y="0"/>
                      <a:ext cx="5587328" cy="6808525"/>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1C6E2A" w:rsidP="00A46E1F">
      <w:pPr>
        <w:pStyle w:val="Prrafodelista"/>
        <w:spacing w:before="240" w:after="240" w:line="360" w:lineRule="auto"/>
        <w:ind w:left="0"/>
        <w:contextualSpacing w:val="0"/>
        <w:jc w:val="center"/>
        <w:rPr>
          <w:rFonts w:ascii="Palatino Linotype" w:hAnsi="Palatino Linotype" w:cs="Arial"/>
          <w:lang w:val="es-ES_tradnl"/>
        </w:rPr>
      </w:pPr>
      <w:r>
        <w:rPr>
          <w:noProof/>
        </w:rPr>
        <w:lastRenderedPageBreak/>
        <w:drawing>
          <wp:inline distT="0" distB="0" distL="0" distR="0" wp14:anchorId="4D0FA7AE" wp14:editId="15C90F2D">
            <wp:extent cx="5447945" cy="6872024"/>
            <wp:effectExtent l="0" t="0" r="635" b="508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3033" t="9126" r="31716" b="11832"/>
                    <a:stretch/>
                  </pic:blipFill>
                  <pic:spPr bwMode="auto">
                    <a:xfrm>
                      <a:off x="0" y="0"/>
                      <a:ext cx="5462360" cy="6890207"/>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1C6E2A" w:rsidP="00A46E1F">
      <w:pPr>
        <w:pStyle w:val="Prrafodelista"/>
        <w:spacing w:before="240" w:after="240" w:line="360" w:lineRule="auto"/>
        <w:ind w:left="0"/>
        <w:contextualSpacing w:val="0"/>
        <w:jc w:val="center"/>
        <w:rPr>
          <w:rFonts w:ascii="Palatino Linotype" w:hAnsi="Palatino Linotype" w:cs="Arial"/>
          <w:lang w:val="es-ES_tradnl"/>
        </w:rPr>
      </w:pPr>
      <w:r>
        <w:rPr>
          <w:noProof/>
        </w:rPr>
        <w:lastRenderedPageBreak/>
        <w:drawing>
          <wp:inline distT="0" distB="0" distL="0" distR="0" wp14:anchorId="2BB4385A" wp14:editId="7A2F3F08">
            <wp:extent cx="5557008" cy="6670071"/>
            <wp:effectExtent l="0" t="0" r="571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870" t="13084" r="32297" b="10459"/>
                    <a:stretch/>
                  </pic:blipFill>
                  <pic:spPr bwMode="auto">
                    <a:xfrm>
                      <a:off x="0" y="0"/>
                      <a:ext cx="5578695" cy="6696102"/>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1C6E2A" w:rsidP="00A46E1F">
      <w:pPr>
        <w:pStyle w:val="Prrafodelista"/>
        <w:spacing w:before="240" w:after="240" w:line="360" w:lineRule="auto"/>
        <w:ind w:left="0"/>
        <w:contextualSpacing w:val="0"/>
        <w:jc w:val="center"/>
        <w:rPr>
          <w:rFonts w:ascii="Palatino Linotype" w:hAnsi="Palatino Linotype" w:cs="Arial"/>
          <w:lang w:val="es-ES_tradnl"/>
        </w:rPr>
      </w:pPr>
      <w:r>
        <w:rPr>
          <w:noProof/>
        </w:rPr>
        <w:lastRenderedPageBreak/>
        <w:drawing>
          <wp:inline distT="0" distB="0" distL="0" distR="0" wp14:anchorId="7D6BD891" wp14:editId="430EE520">
            <wp:extent cx="5441531" cy="6731779"/>
            <wp:effectExtent l="0" t="0" r="698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2549" t="9642" r="32684" b="13902"/>
                    <a:stretch/>
                  </pic:blipFill>
                  <pic:spPr bwMode="auto">
                    <a:xfrm>
                      <a:off x="0" y="0"/>
                      <a:ext cx="5460813" cy="6755633"/>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1C6E2A" w:rsidP="00A46E1F">
      <w:pPr>
        <w:pStyle w:val="Prrafodelista"/>
        <w:spacing w:before="240" w:after="240" w:line="360" w:lineRule="auto"/>
        <w:ind w:left="0"/>
        <w:contextualSpacing w:val="0"/>
        <w:jc w:val="center"/>
        <w:rPr>
          <w:rFonts w:ascii="Palatino Linotype" w:hAnsi="Palatino Linotype" w:cs="Arial"/>
          <w:lang w:val="es-ES_tradnl"/>
        </w:rPr>
      </w:pPr>
      <w:bookmarkStart w:id="1" w:name="_GoBack"/>
      <w:r>
        <w:rPr>
          <w:noProof/>
        </w:rPr>
        <w:lastRenderedPageBreak/>
        <w:drawing>
          <wp:inline distT="0" distB="0" distL="0" distR="0" wp14:anchorId="334897C2" wp14:editId="31D6A09A">
            <wp:extent cx="5363783" cy="6860805"/>
            <wp:effectExtent l="0" t="0" r="889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3033" t="8437" r="33265" b="14934"/>
                    <a:stretch/>
                  </pic:blipFill>
                  <pic:spPr bwMode="auto">
                    <a:xfrm>
                      <a:off x="0" y="0"/>
                      <a:ext cx="5374937" cy="6875072"/>
                    </a:xfrm>
                    <a:prstGeom prst="rect">
                      <a:avLst/>
                    </a:prstGeom>
                    <a:ln>
                      <a:noFill/>
                    </a:ln>
                    <a:extLst>
                      <a:ext uri="{53640926-AAD7-44D8-BBD7-CCE9431645EC}">
                        <a14:shadowObscured xmlns:a14="http://schemas.microsoft.com/office/drawing/2010/main"/>
                      </a:ext>
                    </a:extLst>
                  </pic:spPr>
                </pic:pic>
              </a:graphicData>
            </a:graphic>
          </wp:inline>
        </w:drawing>
      </w:r>
      <w:bookmarkEnd w:id="1"/>
    </w:p>
    <w:p w:rsidR="00A46E1F" w:rsidRPr="00AE2201" w:rsidRDefault="00A46E1F" w:rsidP="00A46E1F">
      <w:pPr>
        <w:pStyle w:val="Prrafodelista"/>
        <w:spacing w:before="240" w:after="240" w:line="360" w:lineRule="auto"/>
        <w:ind w:left="0"/>
        <w:contextualSpacing w:val="0"/>
        <w:jc w:val="both"/>
        <w:rPr>
          <w:rFonts w:ascii="Palatino Linotype" w:hAnsi="Palatino Linotype"/>
        </w:rPr>
      </w:pPr>
      <w:r w:rsidRPr="00AE2201">
        <w:rPr>
          <w:rFonts w:ascii="Palatino Linotype" w:hAnsi="Palatino Linotype" w:cs="Arial"/>
          <w:b/>
          <w:sz w:val="28"/>
          <w:szCs w:val="28"/>
        </w:rPr>
        <w:lastRenderedPageBreak/>
        <w:t>IX.</w:t>
      </w:r>
      <w:r w:rsidRPr="00AE2201">
        <w:rPr>
          <w:rFonts w:ascii="Palatino Linotype" w:hAnsi="Palatino Linotype" w:cs="Arial"/>
        </w:rPr>
        <w:t xml:space="preserve"> Una vez analizado el estado procesal que guardan los expedientes, en fecha dieciséis de octubre de </w:t>
      </w:r>
      <w:r w:rsidRPr="00AE2201">
        <w:rPr>
          <w:rFonts w:ascii="Palatino Linotype" w:hAnsi="Palatino Linotype"/>
        </w:rPr>
        <w:t>dos mil dieciocho</w:t>
      </w:r>
      <w:r w:rsidRPr="00AE2201">
        <w:rPr>
          <w:rFonts w:ascii="Palatino Linotype" w:hAnsi="Palatino Linotype" w:cs="Arial"/>
        </w:rPr>
        <w:t>, la Comisionada Ponente acordó el cierre de instrucción en los</w:t>
      </w:r>
      <w:r w:rsidRPr="00AE2201">
        <w:rPr>
          <w:rFonts w:ascii="Palatino Linotype" w:hAnsi="Palatino Linotype"/>
        </w:rPr>
        <w:t xml:space="preserve"> recursos de revisión </w:t>
      </w:r>
      <w:r w:rsidRPr="00AE2201">
        <w:rPr>
          <w:rFonts w:ascii="Palatino Linotype" w:hAnsi="Palatino Linotype"/>
          <w:b/>
          <w:spacing w:val="-20"/>
        </w:rPr>
        <w:t>03527</w:t>
      </w:r>
      <w:r w:rsidRPr="00AE2201">
        <w:rPr>
          <w:rFonts w:ascii="Palatino Linotype" w:hAnsi="Palatino Linotype" w:cs="Arial"/>
          <w:b/>
          <w:bCs/>
          <w:spacing w:val="-20"/>
        </w:rPr>
        <w:t xml:space="preserve">/INFOEM/IP/RR/2018, </w:t>
      </w:r>
      <w:r w:rsidRPr="00AE2201">
        <w:rPr>
          <w:rFonts w:ascii="Palatino Linotype" w:hAnsi="Palatino Linotype"/>
          <w:b/>
          <w:spacing w:val="-20"/>
        </w:rPr>
        <w:t>03528</w:t>
      </w:r>
      <w:r w:rsidRPr="00AE2201">
        <w:rPr>
          <w:rFonts w:ascii="Palatino Linotype" w:hAnsi="Palatino Linotype" w:cs="Arial"/>
          <w:b/>
          <w:bCs/>
          <w:spacing w:val="-20"/>
        </w:rPr>
        <w:t xml:space="preserve">/INFOEM/IP/RR/2018, </w:t>
      </w:r>
      <w:r w:rsidRPr="00AE2201">
        <w:rPr>
          <w:rFonts w:ascii="Palatino Linotype" w:hAnsi="Palatino Linotype"/>
          <w:b/>
          <w:spacing w:val="-20"/>
        </w:rPr>
        <w:t>03529</w:t>
      </w:r>
      <w:r w:rsidRPr="00AE2201">
        <w:rPr>
          <w:rFonts w:ascii="Palatino Linotype" w:hAnsi="Palatino Linotype" w:cs="Arial"/>
          <w:b/>
          <w:bCs/>
          <w:spacing w:val="-20"/>
        </w:rPr>
        <w:t xml:space="preserve">/INFOEM/IP/RR/2018, </w:t>
      </w:r>
      <w:r w:rsidRPr="00AE2201">
        <w:rPr>
          <w:rFonts w:ascii="Palatino Linotype" w:hAnsi="Palatino Linotype"/>
          <w:b/>
          <w:spacing w:val="-20"/>
        </w:rPr>
        <w:t>03530</w:t>
      </w:r>
      <w:r w:rsidRPr="00AE2201">
        <w:rPr>
          <w:rFonts w:ascii="Palatino Linotype" w:hAnsi="Palatino Linotype" w:cs="Arial"/>
          <w:b/>
          <w:bCs/>
          <w:spacing w:val="-20"/>
        </w:rPr>
        <w:t xml:space="preserve">/INFOEM/IP/RR/2018, </w:t>
      </w:r>
      <w:r w:rsidRPr="00AE2201">
        <w:rPr>
          <w:rFonts w:ascii="Palatino Linotype" w:hAnsi="Palatino Linotype"/>
          <w:b/>
          <w:spacing w:val="-20"/>
        </w:rPr>
        <w:t>03652/</w:t>
      </w:r>
      <w:r w:rsidRPr="00AE2201">
        <w:rPr>
          <w:rFonts w:ascii="Palatino Linotype" w:hAnsi="Palatino Linotype" w:cs="Arial"/>
          <w:b/>
          <w:bCs/>
          <w:spacing w:val="-20"/>
        </w:rPr>
        <w:t xml:space="preserve">INFOEM/IP/RR/2018, </w:t>
      </w:r>
      <w:r w:rsidRPr="00AE2201">
        <w:rPr>
          <w:rFonts w:ascii="Palatino Linotype" w:hAnsi="Palatino Linotype"/>
          <w:b/>
          <w:spacing w:val="-20"/>
        </w:rPr>
        <w:t>03653</w:t>
      </w:r>
      <w:r w:rsidRPr="00AE2201">
        <w:rPr>
          <w:rFonts w:ascii="Palatino Linotype" w:hAnsi="Palatino Linotype" w:cs="Arial"/>
          <w:b/>
          <w:bCs/>
          <w:spacing w:val="-20"/>
        </w:rPr>
        <w:t>/INFOEM/IP/RR/2018</w:t>
      </w:r>
      <w:r w:rsidRPr="00AE2201">
        <w:rPr>
          <w:rFonts w:ascii="Palatino Linotype" w:hAnsi="Palatino Linotype"/>
        </w:rPr>
        <w:t xml:space="preserve">, </w:t>
      </w:r>
      <w:r w:rsidRPr="00AE2201">
        <w:rPr>
          <w:rFonts w:ascii="Palatino Linotype" w:hAnsi="Palatino Linotype"/>
          <w:b/>
          <w:spacing w:val="-20"/>
        </w:rPr>
        <w:t>03654</w:t>
      </w:r>
      <w:r w:rsidRPr="00AE2201">
        <w:rPr>
          <w:rFonts w:ascii="Palatino Linotype" w:hAnsi="Palatino Linotype" w:cs="Arial"/>
          <w:b/>
          <w:bCs/>
          <w:spacing w:val="-20"/>
        </w:rPr>
        <w:t xml:space="preserve">/INFOEM/IP/RR/2018, </w:t>
      </w:r>
      <w:r w:rsidRPr="00AE2201">
        <w:rPr>
          <w:rFonts w:ascii="Palatino Linotype" w:hAnsi="Palatino Linotype" w:cs="Arial"/>
          <w:bCs/>
          <w:spacing w:val="-20"/>
        </w:rPr>
        <w:t>y</w:t>
      </w:r>
      <w:r w:rsidRPr="00AE2201">
        <w:rPr>
          <w:rFonts w:ascii="Palatino Linotype" w:hAnsi="Palatino Linotype" w:cs="Arial"/>
          <w:b/>
          <w:bCs/>
          <w:spacing w:val="-20"/>
        </w:rPr>
        <w:t xml:space="preserve"> </w:t>
      </w:r>
      <w:r w:rsidRPr="00AE2201">
        <w:rPr>
          <w:rFonts w:ascii="Palatino Linotype" w:hAnsi="Palatino Linotype"/>
          <w:b/>
          <w:spacing w:val="-20"/>
        </w:rPr>
        <w:t>03655</w:t>
      </w:r>
      <w:r w:rsidRPr="00AE2201">
        <w:rPr>
          <w:rFonts w:ascii="Palatino Linotype" w:hAnsi="Palatino Linotype" w:cs="Arial"/>
          <w:b/>
          <w:bCs/>
          <w:spacing w:val="-20"/>
        </w:rPr>
        <w:t>/INFOEM/IP/RR/2018,</w:t>
      </w:r>
      <w:r w:rsidRPr="00AE2201">
        <w:rPr>
          <w:rFonts w:ascii="Palatino Linotype" w:hAnsi="Palatino Linotype"/>
        </w:rPr>
        <w:t xml:space="preserve">  </w:t>
      </w:r>
      <w:r w:rsidRPr="00AE2201">
        <w:rPr>
          <w:rFonts w:ascii="Palatino Linotype" w:hAnsi="Palatino Linotype" w:cs="Arial"/>
        </w:rPr>
        <w:t>así como la remisión de los mismos a efecto de ser resueltos, de conformidad con lo establecido en el artículo 185, fracciones VI y VIII de la Ley de Transparencia y Acceso a la Información Pública del Estado de México y Municipios</w:t>
      </w:r>
      <w:r w:rsidRPr="00AE2201">
        <w:rPr>
          <w:rFonts w:ascii="Palatino Linotype" w:hAnsi="Palatino Linotype" w:cs="Arial"/>
          <w:lang w:val="es-ES_tradnl"/>
        </w:rPr>
        <w:t>.</w:t>
      </w:r>
    </w:p>
    <w:p w:rsidR="00A46E1F" w:rsidRPr="00AE2201" w:rsidRDefault="00A46E1F" w:rsidP="00A46E1F">
      <w:pPr>
        <w:spacing w:before="100" w:beforeAutospacing="1" w:after="100" w:afterAutospacing="1" w:line="360" w:lineRule="auto"/>
        <w:jc w:val="both"/>
        <w:rPr>
          <w:rFonts w:ascii="Palatino Linotype" w:hAnsi="Palatino Linotype" w:cs="Arial"/>
        </w:rPr>
      </w:pPr>
      <w:r w:rsidRPr="00AE2201">
        <w:rPr>
          <w:rFonts w:ascii="Palatino Linotype" w:hAnsi="Palatino Linotype" w:cs="Arial"/>
          <w:b/>
          <w:sz w:val="28"/>
          <w:szCs w:val="28"/>
        </w:rPr>
        <w:t>X.</w:t>
      </w:r>
      <w:r w:rsidRPr="00AE2201">
        <w:rPr>
          <w:rFonts w:ascii="Palatino Linotype" w:hAnsi="Palatino Linotype" w:cs="Arial"/>
        </w:rPr>
        <w:t xml:space="preserve"> En fecha quince de noviembre de dos mil dieciocho,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 y,</w:t>
      </w:r>
    </w:p>
    <w:p w:rsidR="00A46E1F" w:rsidRPr="00AE2201" w:rsidRDefault="00A46E1F" w:rsidP="00A46E1F">
      <w:pPr>
        <w:spacing w:before="240" w:after="240" w:line="360" w:lineRule="auto"/>
        <w:jc w:val="center"/>
        <w:rPr>
          <w:rFonts w:ascii="Palatino Linotype" w:hAnsi="Palatino Linotype"/>
          <w:b/>
          <w:bCs/>
          <w:spacing w:val="60"/>
          <w:sz w:val="28"/>
          <w:szCs w:val="28"/>
          <w:lang w:val="es-ES_tradnl"/>
        </w:rPr>
      </w:pPr>
      <w:r w:rsidRPr="00AE2201">
        <w:rPr>
          <w:rFonts w:ascii="Palatino Linotype" w:hAnsi="Palatino Linotype"/>
          <w:b/>
          <w:bCs/>
          <w:spacing w:val="60"/>
          <w:sz w:val="28"/>
          <w:szCs w:val="28"/>
          <w:lang w:val="es-ES_tradnl"/>
        </w:rPr>
        <w:t>CONSIDERANDO</w:t>
      </w:r>
    </w:p>
    <w:p w:rsidR="00A46E1F" w:rsidRPr="00AE2201" w:rsidRDefault="00A46E1F" w:rsidP="00A46E1F">
      <w:pPr>
        <w:pStyle w:val="Prrafodelista"/>
        <w:widowControl w:val="0"/>
        <w:tabs>
          <w:tab w:val="left" w:pos="1701"/>
        </w:tabs>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AE2201">
        <w:rPr>
          <w:rFonts w:ascii="Palatino Linotype" w:hAnsi="Palatino Linotype"/>
          <w:b/>
          <w:sz w:val="28"/>
          <w:szCs w:val="28"/>
        </w:rPr>
        <w:t>PRIMERO.</w:t>
      </w:r>
      <w:r w:rsidRPr="00AE2201">
        <w:rPr>
          <w:rFonts w:ascii="Palatino Linotype" w:hAnsi="Palatino Linotype"/>
          <w:b/>
        </w:rPr>
        <w:t xml:space="preserve"> Competencia</w:t>
      </w:r>
      <w:r w:rsidRPr="00AE2201">
        <w:rPr>
          <w:rFonts w:ascii="Palatino Linotype" w:hAnsi="Palatino Linotype"/>
        </w:rPr>
        <w:t>.</w:t>
      </w:r>
      <w:r w:rsidRPr="00AE2201">
        <w:rPr>
          <w:rFonts w:ascii="Palatino Linotype" w:hAnsi="Palatino Linotype"/>
          <w:b/>
        </w:rPr>
        <w:t xml:space="preserve"> </w:t>
      </w:r>
      <w:r w:rsidRPr="00AE2201">
        <w:rPr>
          <w:rFonts w:ascii="Palatino Linotype" w:hAnsi="Palatino Linotype"/>
        </w:rPr>
        <w:t xml:space="preserve">Este Instituto de Transparencia, Acceso a la Información Pública y Protección de Datos Personales del Estado de México y Municipios, es competente para conocer y resolver los presentes recursos de revisión, conforme a lo dispuesto en los artículos 6, Apartado A de la Constitución Política de los Estados Unidos Mexicanos; 5, párrafos vigésimo, vigésimo primero y vigésimo segundo, fracciones IV y V de la Constitución Política del Estado Libre y Soberano de México; 2, </w:t>
      </w:r>
      <w:r w:rsidRPr="00AE2201">
        <w:rPr>
          <w:rFonts w:ascii="Palatino Linotype" w:hAnsi="Palatino Linotype"/>
        </w:rPr>
        <w:lastRenderedPageBreak/>
        <w:t>fracción II, 13, 29, 36, fracciones I y II, 176, 178, 179, 181, párrafo tercero y 185 de la Ley de Transparencia y Acceso a la Información Pública del Estado de México y Municipios</w:t>
      </w:r>
      <w:r w:rsidRPr="00AE2201">
        <w:rPr>
          <w:rFonts w:ascii="Palatino Linotype" w:hAnsi="Palatino Linotype" w:cs="Arial"/>
        </w:rPr>
        <w:t>; y 9, fracciones I y XXIV y 11 del Reglamento Interior del Instituto de Transparencia, Acceso a la Información Pública y Protección de Datos Personales del Estado de México y Municipios.</w:t>
      </w:r>
    </w:p>
    <w:p w:rsidR="00A46E1F" w:rsidRPr="00AE2201" w:rsidRDefault="00A46E1F" w:rsidP="00A46E1F">
      <w:pPr>
        <w:pStyle w:val="Prrafodelista"/>
        <w:widowControl w:val="0"/>
        <w:tabs>
          <w:tab w:val="left" w:pos="1701"/>
        </w:tabs>
        <w:autoSpaceDE w:val="0"/>
        <w:autoSpaceDN w:val="0"/>
        <w:adjustRightInd w:val="0"/>
        <w:spacing w:before="100" w:beforeAutospacing="1" w:after="100" w:afterAutospacing="1" w:line="360" w:lineRule="auto"/>
        <w:ind w:left="0"/>
        <w:contextualSpacing w:val="0"/>
        <w:jc w:val="both"/>
        <w:rPr>
          <w:rFonts w:ascii="Palatino Linotype" w:hAnsi="Palatino Linotype" w:cs="Arial"/>
          <w:snapToGrid w:val="0"/>
        </w:rPr>
      </w:pPr>
      <w:r w:rsidRPr="00AE2201">
        <w:rPr>
          <w:rFonts w:ascii="Palatino Linotype" w:hAnsi="Palatino Linotype" w:cs="Arial"/>
          <w:b/>
          <w:sz w:val="28"/>
          <w:szCs w:val="28"/>
        </w:rPr>
        <w:t>SEGUNDO.</w:t>
      </w:r>
      <w:r w:rsidRPr="00AE2201">
        <w:rPr>
          <w:rFonts w:ascii="Palatino Linotype" w:hAnsi="Palatino Linotype" w:cs="Arial"/>
          <w:b/>
        </w:rPr>
        <w:t xml:space="preserve"> Interés. </w:t>
      </w:r>
      <w:r w:rsidRPr="00AE2201">
        <w:rPr>
          <w:rFonts w:ascii="Palatino Linotype" w:hAnsi="Palatino Linotype" w:cs="Arial"/>
          <w:bCs/>
        </w:rPr>
        <w:t xml:space="preserve">Los </w:t>
      </w:r>
      <w:r w:rsidRPr="00AE2201">
        <w:rPr>
          <w:rFonts w:ascii="Palatino Linotype" w:hAnsi="Palatino Linotype"/>
        </w:rPr>
        <w:t>recursos</w:t>
      </w:r>
      <w:r w:rsidRPr="00AE2201">
        <w:rPr>
          <w:rFonts w:ascii="Palatino Linotype" w:hAnsi="Palatino Linotype" w:cs="Arial"/>
          <w:bCs/>
        </w:rPr>
        <w:t xml:space="preserve"> de revisión fueron interpuestos </w:t>
      </w:r>
      <w:r w:rsidRPr="00AE2201">
        <w:rPr>
          <w:rFonts w:ascii="Palatino Linotype" w:hAnsi="Palatino Linotype"/>
        </w:rPr>
        <w:t>por</w:t>
      </w:r>
      <w:r w:rsidRPr="00AE2201">
        <w:rPr>
          <w:rFonts w:ascii="Palatino Linotype" w:hAnsi="Palatino Linotype" w:cs="Arial"/>
          <w:bCs/>
        </w:rPr>
        <w:t xml:space="preserve"> parte legítima, en atención a </w:t>
      </w:r>
      <w:r w:rsidRPr="00AE2201">
        <w:rPr>
          <w:rFonts w:ascii="Palatino Linotype" w:hAnsi="Palatino Linotype"/>
        </w:rPr>
        <w:t>que</w:t>
      </w:r>
      <w:r w:rsidRPr="00AE2201">
        <w:rPr>
          <w:rFonts w:ascii="Palatino Linotype" w:hAnsi="Palatino Linotype" w:cs="Arial"/>
          <w:bCs/>
        </w:rPr>
        <w:t xml:space="preserve"> se </w:t>
      </w:r>
      <w:r w:rsidRPr="00AE2201">
        <w:rPr>
          <w:rFonts w:ascii="Palatino Linotype" w:hAnsi="Palatino Linotype"/>
        </w:rPr>
        <w:t xml:space="preserve">presentaron </w:t>
      </w:r>
      <w:r w:rsidRPr="00AE2201">
        <w:rPr>
          <w:rFonts w:ascii="Palatino Linotype" w:hAnsi="Palatino Linotype" w:cs="Arial"/>
          <w:bCs/>
        </w:rPr>
        <w:t xml:space="preserve">por </w:t>
      </w:r>
      <w:r w:rsidRPr="00AE2201">
        <w:rPr>
          <w:rFonts w:ascii="Palatino Linotype" w:hAnsi="Palatino Linotype" w:cs="Arial"/>
          <w:b/>
          <w:bCs/>
        </w:rPr>
        <w:t>EL RECURRENTE</w:t>
      </w:r>
      <w:r w:rsidRPr="00AE2201">
        <w:rPr>
          <w:rFonts w:ascii="Palatino Linotype" w:hAnsi="Palatino Linotype" w:cs="Arial"/>
          <w:bCs/>
        </w:rPr>
        <w:t xml:space="preserve">, quien es la misma persona que formuló las solicitudes de acceso a la información pública al </w:t>
      </w:r>
      <w:r w:rsidRPr="00AE2201">
        <w:rPr>
          <w:rFonts w:ascii="Palatino Linotype" w:hAnsi="Palatino Linotype" w:cs="Arial"/>
          <w:b/>
          <w:bCs/>
        </w:rPr>
        <w:t>SUJETO OBLIGADO.</w:t>
      </w:r>
    </w:p>
    <w:p w:rsidR="00A46E1F" w:rsidRPr="00AE2201" w:rsidRDefault="00A46E1F" w:rsidP="00A46E1F">
      <w:pPr>
        <w:pStyle w:val="Prrafodelista"/>
        <w:widowControl w:val="0"/>
        <w:tabs>
          <w:tab w:val="left" w:pos="1701"/>
        </w:tabs>
        <w:autoSpaceDE w:val="0"/>
        <w:autoSpaceDN w:val="0"/>
        <w:adjustRightInd w:val="0"/>
        <w:spacing w:before="100" w:beforeAutospacing="1" w:after="100" w:afterAutospacing="1" w:line="360" w:lineRule="auto"/>
        <w:ind w:left="0" w:right="49"/>
        <w:contextualSpacing w:val="0"/>
        <w:jc w:val="both"/>
        <w:rPr>
          <w:rFonts w:ascii="Palatino Linotype" w:hAnsi="Palatino Linotype" w:cs="Arial"/>
          <w:color w:val="000000"/>
        </w:rPr>
      </w:pPr>
      <w:r w:rsidRPr="00AE2201">
        <w:rPr>
          <w:rFonts w:ascii="Palatino Linotype" w:hAnsi="Palatino Linotype" w:cs="Arial"/>
          <w:b/>
          <w:color w:val="000000"/>
          <w:sz w:val="28"/>
          <w:szCs w:val="28"/>
        </w:rPr>
        <w:t>TERCERO.</w:t>
      </w:r>
      <w:r w:rsidRPr="00AE2201">
        <w:rPr>
          <w:rFonts w:ascii="Palatino Linotype" w:hAnsi="Palatino Linotype" w:cs="Arial"/>
          <w:b/>
          <w:color w:val="000000"/>
        </w:rPr>
        <w:t xml:space="preserve"> Justificación de la Acumulación de los Recursos.</w:t>
      </w:r>
      <w:r w:rsidRPr="00AE2201">
        <w:rPr>
          <w:rFonts w:ascii="Palatino Linotype" w:hAnsi="Palatino Linotype" w:cs="Arial"/>
          <w:color w:val="000000"/>
        </w:rPr>
        <w:t xml:space="preserve"> De las constancias que obran en los expedientes, se advierte que los recursos de revisión</w:t>
      </w:r>
      <w:r w:rsidRPr="00AE2201">
        <w:rPr>
          <w:rFonts w:ascii="Palatino Linotype" w:hAnsi="Palatino Linotype" w:cs="Arial"/>
          <w:b/>
        </w:rPr>
        <w:t xml:space="preserve"> </w:t>
      </w:r>
      <w:r w:rsidRPr="00AE2201">
        <w:rPr>
          <w:rFonts w:ascii="Palatino Linotype" w:hAnsi="Palatino Linotype"/>
          <w:b/>
          <w:spacing w:val="-20"/>
        </w:rPr>
        <w:t>03527</w:t>
      </w:r>
      <w:r w:rsidRPr="00AE2201">
        <w:rPr>
          <w:rFonts w:ascii="Palatino Linotype" w:hAnsi="Palatino Linotype" w:cs="Arial"/>
          <w:b/>
          <w:bCs/>
          <w:spacing w:val="-20"/>
        </w:rPr>
        <w:t xml:space="preserve">/INFOEM/IP/RR/2018, </w:t>
      </w:r>
      <w:r w:rsidRPr="00AE2201">
        <w:rPr>
          <w:rFonts w:ascii="Palatino Linotype" w:hAnsi="Palatino Linotype"/>
          <w:b/>
          <w:spacing w:val="-20"/>
        </w:rPr>
        <w:t>03528</w:t>
      </w:r>
      <w:r w:rsidRPr="00AE2201">
        <w:rPr>
          <w:rFonts w:ascii="Palatino Linotype" w:hAnsi="Palatino Linotype" w:cs="Arial"/>
          <w:b/>
          <w:bCs/>
          <w:spacing w:val="-20"/>
        </w:rPr>
        <w:t xml:space="preserve">/INFOEM/IP/RR/2018, </w:t>
      </w:r>
      <w:r w:rsidRPr="00AE2201">
        <w:rPr>
          <w:rFonts w:ascii="Palatino Linotype" w:hAnsi="Palatino Linotype"/>
          <w:b/>
          <w:spacing w:val="-20"/>
        </w:rPr>
        <w:t>03529</w:t>
      </w:r>
      <w:r w:rsidRPr="00AE2201">
        <w:rPr>
          <w:rFonts w:ascii="Palatino Linotype" w:hAnsi="Palatino Linotype" w:cs="Arial"/>
          <w:b/>
          <w:bCs/>
          <w:spacing w:val="-20"/>
        </w:rPr>
        <w:t xml:space="preserve">/INFOEM/IP/RR/2018, </w:t>
      </w:r>
      <w:r w:rsidRPr="00AE2201">
        <w:rPr>
          <w:rFonts w:ascii="Palatino Linotype" w:hAnsi="Palatino Linotype"/>
          <w:b/>
          <w:spacing w:val="-20"/>
        </w:rPr>
        <w:t>03530</w:t>
      </w:r>
      <w:r w:rsidRPr="00AE2201">
        <w:rPr>
          <w:rFonts w:ascii="Palatino Linotype" w:hAnsi="Palatino Linotype" w:cs="Arial"/>
          <w:b/>
          <w:bCs/>
          <w:spacing w:val="-20"/>
        </w:rPr>
        <w:t xml:space="preserve">/INFOEM/IP/RR/2018, </w:t>
      </w:r>
      <w:r w:rsidRPr="00AE2201">
        <w:rPr>
          <w:rFonts w:ascii="Palatino Linotype" w:hAnsi="Palatino Linotype"/>
          <w:b/>
          <w:spacing w:val="-20"/>
        </w:rPr>
        <w:t>03652/</w:t>
      </w:r>
      <w:r w:rsidRPr="00AE2201">
        <w:rPr>
          <w:rFonts w:ascii="Palatino Linotype" w:hAnsi="Palatino Linotype" w:cs="Arial"/>
          <w:b/>
          <w:bCs/>
          <w:spacing w:val="-20"/>
        </w:rPr>
        <w:t xml:space="preserve">INFOEM/IP/RR/2018, </w:t>
      </w:r>
      <w:r w:rsidRPr="00AE2201">
        <w:rPr>
          <w:rFonts w:ascii="Palatino Linotype" w:hAnsi="Palatino Linotype"/>
          <w:b/>
          <w:spacing w:val="-20"/>
        </w:rPr>
        <w:t>03653</w:t>
      </w:r>
      <w:r w:rsidRPr="00AE2201">
        <w:rPr>
          <w:rFonts w:ascii="Palatino Linotype" w:hAnsi="Palatino Linotype" w:cs="Arial"/>
          <w:b/>
          <w:bCs/>
          <w:spacing w:val="-20"/>
        </w:rPr>
        <w:t>/INFOEM/IP/RR/2018</w:t>
      </w:r>
      <w:r w:rsidRPr="00AE2201">
        <w:rPr>
          <w:rFonts w:ascii="Palatino Linotype" w:hAnsi="Palatino Linotype"/>
        </w:rPr>
        <w:t xml:space="preserve">, </w:t>
      </w:r>
      <w:r w:rsidRPr="00AE2201">
        <w:rPr>
          <w:rFonts w:ascii="Palatino Linotype" w:hAnsi="Palatino Linotype"/>
          <w:b/>
          <w:spacing w:val="-20"/>
        </w:rPr>
        <w:t>03654</w:t>
      </w:r>
      <w:r w:rsidRPr="00AE2201">
        <w:rPr>
          <w:rFonts w:ascii="Palatino Linotype" w:hAnsi="Palatino Linotype" w:cs="Arial"/>
          <w:b/>
          <w:bCs/>
          <w:spacing w:val="-20"/>
        </w:rPr>
        <w:t xml:space="preserve">/INFOEM/IP/RR/2018, </w:t>
      </w:r>
      <w:r w:rsidRPr="00AE2201">
        <w:rPr>
          <w:rFonts w:ascii="Palatino Linotype" w:hAnsi="Palatino Linotype" w:cs="Arial"/>
          <w:bCs/>
          <w:spacing w:val="-20"/>
        </w:rPr>
        <w:t>y</w:t>
      </w:r>
      <w:r w:rsidRPr="00AE2201">
        <w:rPr>
          <w:rFonts w:ascii="Palatino Linotype" w:hAnsi="Palatino Linotype" w:cs="Arial"/>
          <w:b/>
          <w:bCs/>
          <w:spacing w:val="-20"/>
        </w:rPr>
        <w:t xml:space="preserve"> </w:t>
      </w:r>
      <w:r w:rsidRPr="00AE2201">
        <w:rPr>
          <w:rFonts w:ascii="Palatino Linotype" w:hAnsi="Palatino Linotype"/>
          <w:b/>
          <w:spacing w:val="-20"/>
        </w:rPr>
        <w:t>03655</w:t>
      </w:r>
      <w:r w:rsidRPr="00AE2201">
        <w:rPr>
          <w:rFonts w:ascii="Palatino Linotype" w:hAnsi="Palatino Linotype" w:cs="Arial"/>
          <w:b/>
          <w:bCs/>
          <w:spacing w:val="-20"/>
        </w:rPr>
        <w:t xml:space="preserve">/INFOEM/IP/RR/2018, </w:t>
      </w:r>
      <w:r w:rsidRPr="00AE2201">
        <w:rPr>
          <w:rFonts w:ascii="Palatino Linotype" w:hAnsi="Palatino Linotype" w:cs="Arial"/>
          <w:color w:val="000000"/>
        </w:rPr>
        <w:t xml:space="preserve">fueron presentados por el mismo </w:t>
      </w:r>
      <w:r w:rsidRPr="00AE2201">
        <w:rPr>
          <w:rFonts w:ascii="Palatino Linotype" w:hAnsi="Palatino Linotype" w:cs="Arial"/>
          <w:b/>
          <w:color w:val="000000"/>
        </w:rPr>
        <w:t xml:space="preserve">RECURRENTE </w:t>
      </w:r>
      <w:r w:rsidRPr="00AE2201">
        <w:rPr>
          <w:rFonts w:ascii="Palatino Linotype" w:hAnsi="Palatino Linotype" w:cs="Arial"/>
          <w:color w:val="000000"/>
        </w:rPr>
        <w:t xml:space="preserve">ante el mismo </w:t>
      </w:r>
      <w:r w:rsidRPr="00AE2201">
        <w:rPr>
          <w:rFonts w:ascii="Palatino Linotype" w:hAnsi="Palatino Linotype" w:cs="Arial"/>
          <w:b/>
          <w:color w:val="000000"/>
        </w:rPr>
        <w:t>SUJETO OBLIGADO</w:t>
      </w:r>
      <w:r w:rsidRPr="00AE2201">
        <w:rPr>
          <w:rFonts w:ascii="Palatino Linotype" w:hAnsi="Palatino Linotype" w:cs="Arial"/>
          <w:color w:val="000000"/>
        </w:rPr>
        <w:t xml:space="preserve">, aunado a que resulta conveniente su trámite de forma unificada por economía procesal y a fin de evitar la emisión de resoluciones contradictorias, en virtud de que la información solicitada se relaciona con los requerimientos de pago que </w:t>
      </w:r>
      <w:r w:rsidRPr="00AE2201">
        <w:rPr>
          <w:rFonts w:ascii="Palatino Linotype" w:hAnsi="Palatino Linotype" w:cs="Arial"/>
          <w:b/>
          <w:color w:val="000000"/>
        </w:rPr>
        <w:t xml:space="preserve">EL SUJETO OBLIGADO </w:t>
      </w:r>
      <w:r w:rsidRPr="00AE2201">
        <w:rPr>
          <w:rFonts w:ascii="Palatino Linotype" w:hAnsi="Palatino Linotype" w:cs="Arial"/>
          <w:color w:val="000000"/>
        </w:rPr>
        <w:t xml:space="preserve">entregó a la Universidad Autónoma del Estado de México, durante los años 2015 a 2018; por lo que, fue procedente que este Órgano Garante decretara su acumulación, de conformidad con lo dispuesto en el artículo 18 del Código de Procedimientos </w:t>
      </w:r>
      <w:r w:rsidRPr="00AE2201">
        <w:rPr>
          <w:rFonts w:ascii="Palatino Linotype" w:hAnsi="Palatino Linotype" w:cs="Arial"/>
          <w:color w:val="000000"/>
        </w:rPr>
        <w:lastRenderedPageBreak/>
        <w:t xml:space="preserve">Administrativos del Estado de México, de aplicación supletoria en términos del ordinal 195 de </w:t>
      </w:r>
      <w:r w:rsidRPr="00AE2201">
        <w:rPr>
          <w:rFonts w:ascii="Palatino Linotype" w:hAnsi="Palatino Linotype"/>
        </w:rPr>
        <w:t>la Ley de Transparencia y Acceso a la Información Pública del Estado de México y Municipios, que a continuación se insertan:</w:t>
      </w:r>
    </w:p>
    <w:p w:rsidR="00A46E1F" w:rsidRPr="00AE2201" w:rsidRDefault="00A46E1F" w:rsidP="00A46E1F">
      <w:pPr>
        <w:ind w:left="851" w:right="709"/>
        <w:jc w:val="center"/>
        <w:rPr>
          <w:rFonts w:ascii="Palatino Linotype" w:hAnsi="Palatino Linotype" w:cs="Arial"/>
          <w:b/>
          <w:i/>
          <w:sz w:val="22"/>
          <w:szCs w:val="22"/>
        </w:rPr>
      </w:pPr>
      <w:r w:rsidRPr="00AE2201">
        <w:rPr>
          <w:rFonts w:ascii="Palatino Linotype" w:hAnsi="Palatino Linotype" w:cs="Arial"/>
          <w:b/>
          <w:i/>
          <w:sz w:val="22"/>
          <w:szCs w:val="22"/>
        </w:rPr>
        <w:t>“Código de Procedimientos Administrativos del Estado de México</w:t>
      </w:r>
    </w:p>
    <w:p w:rsidR="00A46E1F" w:rsidRPr="00AE2201" w:rsidRDefault="00A46E1F" w:rsidP="00A46E1F">
      <w:pPr>
        <w:ind w:left="851" w:right="709"/>
        <w:jc w:val="both"/>
        <w:rPr>
          <w:rFonts w:ascii="Palatino Linotype" w:hAnsi="Palatino Linotype" w:cs="Arial"/>
          <w:i/>
          <w:sz w:val="22"/>
          <w:szCs w:val="22"/>
        </w:rPr>
      </w:pPr>
      <w:r w:rsidRPr="00AE2201">
        <w:rPr>
          <w:rFonts w:ascii="Palatino Linotype" w:hAnsi="Palatino Linotype" w:cs="Arial"/>
          <w:b/>
          <w:i/>
          <w:sz w:val="22"/>
          <w:szCs w:val="22"/>
        </w:rPr>
        <w:t>Artículo 18</w:t>
      </w:r>
      <w:r w:rsidRPr="00AE2201">
        <w:rPr>
          <w:rFonts w:ascii="Palatino Linotype" w:hAnsi="Palatino Linotype" w:cs="Arial"/>
          <w:i/>
          <w:sz w:val="22"/>
          <w:szCs w:val="22"/>
        </w:rPr>
        <w:t xml:space="preserve">.- </w:t>
      </w:r>
      <w:r w:rsidRPr="00AE2201">
        <w:rPr>
          <w:rFonts w:ascii="Palatino Linotype" w:hAnsi="Palatino Linotype" w:cs="Arial"/>
          <w:b/>
          <w:i/>
          <w:sz w:val="22"/>
          <w:szCs w:val="22"/>
        </w:rPr>
        <w:t>La autoridad administrativa o el Tribunal acordarán la acumulación de los expedientes del procedimiento y proceso administrativo que ante ellos se sigan, de oficio</w:t>
      </w:r>
      <w:r w:rsidRPr="00AE2201">
        <w:rPr>
          <w:rFonts w:ascii="Palatino Linotype" w:hAnsi="Palatino Linotype" w:cs="Arial"/>
          <w:i/>
          <w:sz w:val="22"/>
          <w:szCs w:val="22"/>
        </w:rPr>
        <w:t xml:space="preserve"> o a petición de parte, </w:t>
      </w:r>
      <w:r w:rsidRPr="00AE2201">
        <w:rPr>
          <w:rFonts w:ascii="Palatino Linotype" w:hAnsi="Palatino Linotype" w:cs="Arial"/>
          <w:b/>
          <w:i/>
          <w:sz w:val="22"/>
          <w:szCs w:val="22"/>
        </w:rPr>
        <w:t>cuando las partes</w:t>
      </w:r>
      <w:r w:rsidRPr="00AE2201">
        <w:rPr>
          <w:rFonts w:ascii="Palatino Linotype" w:hAnsi="Palatino Linotype" w:cs="Arial"/>
          <w:i/>
          <w:sz w:val="22"/>
          <w:szCs w:val="22"/>
        </w:rPr>
        <w:t xml:space="preserve"> o los actos administrativos </w:t>
      </w:r>
      <w:r w:rsidRPr="00AE2201">
        <w:rPr>
          <w:rFonts w:ascii="Palatino Linotype" w:hAnsi="Palatino Linotype" w:cs="Arial"/>
          <w:b/>
          <w:i/>
          <w:sz w:val="22"/>
          <w:szCs w:val="22"/>
        </w:rPr>
        <w:t>sean iguales</w:t>
      </w:r>
      <w:r w:rsidRPr="00AE2201">
        <w:rPr>
          <w:rFonts w:ascii="Palatino Linotype" w:hAnsi="Palatino Linotype" w:cs="Arial"/>
          <w:i/>
          <w:sz w:val="22"/>
          <w:szCs w:val="22"/>
        </w:rPr>
        <w:t xml:space="preserve">, se trate de actos conexos o </w:t>
      </w:r>
      <w:r w:rsidRPr="00AE2201">
        <w:rPr>
          <w:rFonts w:ascii="Palatino Linotype" w:hAnsi="Palatino Linotype" w:cs="Arial"/>
          <w:b/>
          <w:i/>
          <w:sz w:val="22"/>
          <w:szCs w:val="22"/>
        </w:rPr>
        <w:t>resulte conveniente el trámite unificado de los asuntos, para evitar la emisión de resoluciones contradictorias</w:t>
      </w:r>
      <w:r w:rsidRPr="00AE2201">
        <w:rPr>
          <w:rFonts w:ascii="Palatino Linotype" w:hAnsi="Palatino Linotype" w:cs="Arial"/>
          <w:i/>
          <w:sz w:val="22"/>
          <w:szCs w:val="22"/>
        </w:rPr>
        <w:t>. La misma regla se aplicará, en lo conducente, para la separación de los expedientes.”</w:t>
      </w:r>
    </w:p>
    <w:p w:rsidR="00A46E1F" w:rsidRPr="00AE2201" w:rsidRDefault="00A46E1F" w:rsidP="00A46E1F">
      <w:pPr>
        <w:ind w:left="851" w:right="709"/>
        <w:jc w:val="both"/>
        <w:rPr>
          <w:rFonts w:ascii="Palatino Linotype" w:hAnsi="Palatino Linotype" w:cs="Arial"/>
          <w:i/>
          <w:sz w:val="22"/>
          <w:szCs w:val="22"/>
        </w:rPr>
      </w:pPr>
    </w:p>
    <w:p w:rsidR="00A46E1F" w:rsidRPr="00AE2201" w:rsidRDefault="00A46E1F" w:rsidP="00A46E1F">
      <w:pPr>
        <w:ind w:left="851" w:right="709"/>
        <w:jc w:val="center"/>
        <w:rPr>
          <w:rFonts w:ascii="Palatino Linotype" w:hAnsi="Palatino Linotype" w:cs="Arial"/>
          <w:b/>
          <w:i/>
          <w:sz w:val="22"/>
          <w:szCs w:val="22"/>
        </w:rPr>
      </w:pPr>
      <w:r w:rsidRPr="00AE2201">
        <w:rPr>
          <w:rFonts w:ascii="Palatino Linotype" w:hAnsi="Palatino Linotype" w:cs="Arial"/>
          <w:b/>
          <w:i/>
          <w:sz w:val="22"/>
          <w:szCs w:val="22"/>
        </w:rPr>
        <w:t>Ley de Transparencia y Acceso a la Información Pública del Estado de México y Municipios</w:t>
      </w:r>
    </w:p>
    <w:p w:rsidR="00A46E1F" w:rsidRPr="00AE2201" w:rsidRDefault="00A46E1F" w:rsidP="00A46E1F">
      <w:pPr>
        <w:ind w:left="851" w:right="709"/>
        <w:jc w:val="both"/>
        <w:rPr>
          <w:rFonts w:ascii="Palatino Linotype" w:hAnsi="Palatino Linotype" w:cs="Arial"/>
          <w:i/>
          <w:sz w:val="22"/>
          <w:szCs w:val="22"/>
        </w:rPr>
      </w:pPr>
      <w:r w:rsidRPr="00AE2201">
        <w:rPr>
          <w:rFonts w:ascii="Palatino Linotype" w:hAnsi="Palatino Linotype" w:cs="Arial"/>
          <w:i/>
          <w:sz w:val="22"/>
          <w:szCs w:val="22"/>
        </w:rPr>
        <w:t>“</w:t>
      </w:r>
      <w:r w:rsidRPr="00AE2201">
        <w:rPr>
          <w:rFonts w:ascii="Palatino Linotype" w:hAnsi="Palatino Linotype" w:cs="Arial"/>
          <w:b/>
          <w:i/>
          <w:sz w:val="22"/>
          <w:szCs w:val="22"/>
        </w:rPr>
        <w:t xml:space="preserve">Artículo 195. </w:t>
      </w:r>
      <w:r w:rsidRPr="00AE2201">
        <w:rPr>
          <w:rFonts w:ascii="Palatino Linotype" w:hAnsi="Palatino Linotype" w:cs="Arial"/>
          <w:i/>
          <w:sz w:val="22"/>
          <w:szCs w:val="22"/>
        </w:rPr>
        <w:t>En la tramitación del recurso de revisión se aplicarán supletoriamente las disposiciones contenidas en el Código de Procedimientos Administrativos del Estado de México.”</w:t>
      </w:r>
    </w:p>
    <w:p w:rsidR="00A46E1F" w:rsidRPr="00AE2201" w:rsidRDefault="00A46E1F" w:rsidP="00A46E1F">
      <w:pPr>
        <w:tabs>
          <w:tab w:val="center" w:pos="4960"/>
        </w:tabs>
        <w:ind w:left="851" w:right="709"/>
        <w:jc w:val="both"/>
        <w:rPr>
          <w:rFonts w:ascii="Palatino Linotype" w:hAnsi="Palatino Linotype" w:cs="Arial"/>
          <w:i/>
          <w:sz w:val="22"/>
          <w:szCs w:val="22"/>
        </w:rPr>
      </w:pPr>
      <w:r w:rsidRPr="00AE2201">
        <w:rPr>
          <w:rFonts w:ascii="Palatino Linotype" w:hAnsi="Palatino Linotype" w:cs="Arial"/>
          <w:i/>
          <w:sz w:val="22"/>
          <w:szCs w:val="22"/>
        </w:rPr>
        <w:t>(Énfasis añadido)</w:t>
      </w:r>
    </w:p>
    <w:p w:rsidR="00A46E1F" w:rsidRPr="00AE2201" w:rsidRDefault="00A46E1F" w:rsidP="00A46E1F">
      <w:pPr>
        <w:pStyle w:val="Encabezado"/>
        <w:spacing w:before="100" w:beforeAutospacing="1" w:after="100" w:afterAutospacing="1" w:line="360" w:lineRule="auto"/>
        <w:jc w:val="both"/>
        <w:rPr>
          <w:rFonts w:ascii="Palatino Linotype" w:hAnsi="Palatino Linotype" w:cs="Arial"/>
          <w:color w:val="000000"/>
          <w:lang w:val="es-MX"/>
        </w:rPr>
      </w:pPr>
      <w:r w:rsidRPr="00AE2201">
        <w:rPr>
          <w:rFonts w:ascii="Palatino Linotype" w:hAnsi="Palatino Linotype" w:cs="Arial"/>
          <w:color w:val="000000"/>
          <w:sz w:val="22"/>
          <w:szCs w:val="22"/>
          <w:lang w:val="es-MX"/>
        </w:rPr>
        <w:t xml:space="preserve">De lo </w:t>
      </w:r>
      <w:r w:rsidRPr="00AE2201">
        <w:rPr>
          <w:rFonts w:ascii="Palatino Linotype" w:hAnsi="Palatino Linotype" w:cs="Arial"/>
          <w:color w:val="000000"/>
          <w:lang w:val="es-MX"/>
        </w:rPr>
        <w:t>dispuesto en la normativa anterior, dicha acumulación procede cuando:</w:t>
      </w:r>
    </w:p>
    <w:p w:rsidR="00A46E1F" w:rsidRPr="00AE2201" w:rsidRDefault="00A46E1F" w:rsidP="00A46E1F">
      <w:pPr>
        <w:pStyle w:val="Encabezado"/>
        <w:numPr>
          <w:ilvl w:val="0"/>
          <w:numId w:val="4"/>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lang w:val="es-MX"/>
        </w:rPr>
      </w:pPr>
      <w:r w:rsidRPr="00AE2201">
        <w:rPr>
          <w:rFonts w:ascii="Palatino Linotype" w:hAnsi="Palatino Linotype" w:cs="Arial"/>
          <w:b/>
          <w:color w:val="000000"/>
          <w:lang w:val="es-MX"/>
        </w:rPr>
        <w:t>El solicitante y la información referida sean las mismas</w:t>
      </w:r>
      <w:r w:rsidRPr="00AE2201">
        <w:rPr>
          <w:rFonts w:ascii="Palatino Linotype" w:hAnsi="Palatino Linotype" w:cs="Arial"/>
          <w:color w:val="000000"/>
          <w:lang w:val="es-MX"/>
        </w:rPr>
        <w:t>;</w:t>
      </w:r>
    </w:p>
    <w:p w:rsidR="00A46E1F" w:rsidRPr="00AE2201" w:rsidRDefault="00A46E1F" w:rsidP="00A46E1F">
      <w:pPr>
        <w:pStyle w:val="Encabezado"/>
        <w:numPr>
          <w:ilvl w:val="0"/>
          <w:numId w:val="4"/>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lang w:val="es-MX"/>
        </w:rPr>
      </w:pPr>
      <w:r w:rsidRPr="00AE2201">
        <w:rPr>
          <w:rFonts w:ascii="Palatino Linotype" w:hAnsi="Palatino Linotype" w:cs="Arial"/>
          <w:color w:val="000000"/>
          <w:lang w:val="es-MX"/>
        </w:rPr>
        <w:t>Las partes o los actos impugnados sean iguales;</w:t>
      </w:r>
    </w:p>
    <w:p w:rsidR="00A46E1F" w:rsidRPr="00AE2201" w:rsidRDefault="00A46E1F" w:rsidP="00A46E1F">
      <w:pPr>
        <w:pStyle w:val="Encabezado"/>
        <w:numPr>
          <w:ilvl w:val="0"/>
          <w:numId w:val="4"/>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lang w:val="es-MX"/>
        </w:rPr>
      </w:pPr>
      <w:r w:rsidRPr="00AE2201">
        <w:rPr>
          <w:rFonts w:ascii="Palatino Linotype" w:hAnsi="Palatino Linotype" w:cs="Arial"/>
          <w:b/>
          <w:color w:val="000000"/>
          <w:lang w:val="es-MX"/>
        </w:rPr>
        <w:t xml:space="preserve">Cuando se trate del mismo solicitante, el mismo Sujeto Obligado, </w:t>
      </w:r>
      <w:r w:rsidRPr="00AE2201">
        <w:rPr>
          <w:rFonts w:ascii="Palatino Linotype" w:hAnsi="Palatino Linotype" w:cs="Arial"/>
          <w:color w:val="000000"/>
          <w:lang w:val="es-MX"/>
        </w:rPr>
        <w:t>aunque se trate de solicitudes diversas; y</w:t>
      </w:r>
    </w:p>
    <w:p w:rsidR="00A46E1F" w:rsidRPr="00AE2201" w:rsidRDefault="00A46E1F" w:rsidP="00A46E1F">
      <w:pPr>
        <w:pStyle w:val="Encabezado"/>
        <w:numPr>
          <w:ilvl w:val="0"/>
          <w:numId w:val="4"/>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sz w:val="22"/>
          <w:szCs w:val="22"/>
          <w:lang w:val="es-MX"/>
        </w:rPr>
      </w:pPr>
      <w:r w:rsidRPr="00AE2201">
        <w:rPr>
          <w:rFonts w:ascii="Palatino Linotype" w:hAnsi="Palatino Linotype" w:cs="Arial"/>
          <w:b/>
          <w:color w:val="000000"/>
          <w:lang w:val="es-MX"/>
        </w:rPr>
        <w:t>Resulte conveniente</w:t>
      </w:r>
      <w:r w:rsidRPr="00AE2201">
        <w:rPr>
          <w:rFonts w:ascii="Palatino Linotype" w:hAnsi="Palatino Linotype" w:cs="Arial"/>
          <w:b/>
          <w:color w:val="000000"/>
          <w:sz w:val="22"/>
          <w:szCs w:val="22"/>
          <w:lang w:val="es-MX"/>
        </w:rPr>
        <w:t xml:space="preserve"> la resolución unificada de los asuntos</w:t>
      </w:r>
      <w:r w:rsidRPr="00AE2201">
        <w:rPr>
          <w:rFonts w:ascii="Palatino Linotype" w:hAnsi="Palatino Linotype" w:cs="Arial"/>
          <w:i/>
          <w:color w:val="000000"/>
          <w:sz w:val="22"/>
          <w:szCs w:val="22"/>
          <w:lang w:val="es-MX"/>
        </w:rPr>
        <w:t>.</w:t>
      </w:r>
    </w:p>
    <w:p w:rsidR="00A46E1F" w:rsidRPr="00AE2201" w:rsidRDefault="00A46E1F" w:rsidP="00A46E1F">
      <w:pPr>
        <w:pStyle w:val="Encabezado"/>
        <w:spacing w:before="100" w:beforeAutospacing="1" w:after="100" w:afterAutospacing="1" w:line="360" w:lineRule="auto"/>
        <w:jc w:val="both"/>
        <w:rPr>
          <w:rFonts w:ascii="Palatino Linotype" w:hAnsi="Palatino Linotype" w:cs="Arial"/>
          <w:color w:val="000000"/>
          <w:lang w:val="es-MX"/>
        </w:rPr>
      </w:pPr>
      <w:r w:rsidRPr="00AE2201">
        <w:rPr>
          <w:rFonts w:ascii="Palatino Linotype" w:hAnsi="Palatino Linotype" w:cs="Arial"/>
          <w:color w:val="000000"/>
          <w:lang w:val="es-MX"/>
        </w:rPr>
        <w:t xml:space="preserve">Así, tal y como se mencionó anteriormente, los recursos de revisión que nos ocupan fueron interpuestos por el mismo </w:t>
      </w:r>
      <w:r w:rsidRPr="00AE2201">
        <w:rPr>
          <w:rFonts w:ascii="Palatino Linotype" w:hAnsi="Palatino Linotype" w:cs="Arial"/>
          <w:b/>
          <w:color w:val="000000"/>
          <w:lang w:val="es-MX"/>
        </w:rPr>
        <w:t>RECURRENTE</w:t>
      </w:r>
      <w:r w:rsidRPr="00AE2201">
        <w:rPr>
          <w:rFonts w:ascii="Palatino Linotype" w:hAnsi="Palatino Linotype" w:cs="Arial"/>
          <w:color w:val="000000"/>
          <w:lang w:val="es-MX"/>
        </w:rPr>
        <w:t xml:space="preserve"> ante el mismo </w:t>
      </w:r>
      <w:r w:rsidRPr="00AE2201">
        <w:rPr>
          <w:rFonts w:ascii="Palatino Linotype" w:hAnsi="Palatino Linotype" w:cs="Arial"/>
          <w:b/>
          <w:color w:val="000000"/>
          <w:lang w:val="es-MX"/>
        </w:rPr>
        <w:t xml:space="preserve">SUJETO </w:t>
      </w:r>
      <w:r w:rsidRPr="00AE2201">
        <w:rPr>
          <w:rFonts w:ascii="Palatino Linotype" w:hAnsi="Palatino Linotype" w:cs="Arial"/>
          <w:b/>
          <w:color w:val="000000"/>
          <w:lang w:val="es-MX"/>
        </w:rPr>
        <w:lastRenderedPageBreak/>
        <w:t>OBLIGADO</w:t>
      </w:r>
      <w:r w:rsidRPr="00AE2201">
        <w:rPr>
          <w:rFonts w:ascii="Palatino Linotype" w:hAnsi="Palatino Linotype" w:cs="Arial"/>
          <w:color w:val="000000"/>
          <w:lang w:val="es-MX"/>
        </w:rPr>
        <w:t>, resulta conveniente su resolución conjunta por tratarse de solicitudes de información relacionadas con el Instituto de Seguridad Social del Estado de México y Municipios.</w:t>
      </w:r>
    </w:p>
    <w:p w:rsidR="00A46E1F" w:rsidRPr="00AE2201" w:rsidRDefault="00A46E1F" w:rsidP="00A46E1F">
      <w:pPr>
        <w:pStyle w:val="Prrafodelista"/>
        <w:widowControl w:val="0"/>
        <w:tabs>
          <w:tab w:val="left" w:pos="1701"/>
        </w:tabs>
        <w:autoSpaceDE w:val="0"/>
        <w:autoSpaceDN w:val="0"/>
        <w:adjustRightInd w:val="0"/>
        <w:spacing w:before="100" w:beforeAutospacing="1" w:after="100" w:afterAutospacing="1" w:line="360" w:lineRule="auto"/>
        <w:ind w:left="0"/>
        <w:contextualSpacing w:val="0"/>
        <w:jc w:val="both"/>
        <w:rPr>
          <w:rFonts w:ascii="Palatino Linotype" w:hAnsi="Palatino Linotype" w:cs="Arial"/>
          <w:color w:val="000000"/>
        </w:rPr>
      </w:pPr>
      <w:r w:rsidRPr="00AE2201">
        <w:rPr>
          <w:rFonts w:ascii="Palatino Linotype" w:hAnsi="Palatino Linotype" w:cs="Arial"/>
          <w:color w:val="000000"/>
        </w:rPr>
        <w:t>Bajo este orden de ideas, el Pleno de este Órgano Garante determinó la acumulación de los recursos de revisión señalados al rubro de la presente resolución.</w:t>
      </w:r>
    </w:p>
    <w:p w:rsidR="00A46E1F" w:rsidRPr="00AE2201" w:rsidRDefault="00A46E1F" w:rsidP="00A46E1F">
      <w:pPr>
        <w:pStyle w:val="Prrafodelista"/>
        <w:widowControl w:val="0"/>
        <w:tabs>
          <w:tab w:val="left" w:pos="1701"/>
          <w:tab w:val="left" w:pos="1843"/>
        </w:tabs>
        <w:autoSpaceDE w:val="0"/>
        <w:autoSpaceDN w:val="0"/>
        <w:adjustRightInd w:val="0"/>
        <w:spacing w:before="200" w:after="200" w:line="360" w:lineRule="auto"/>
        <w:ind w:left="0"/>
        <w:jc w:val="both"/>
        <w:rPr>
          <w:rFonts w:ascii="Palatino Linotype" w:hAnsi="Palatino Linotype" w:cs="Arial"/>
          <w:lang w:val="es-ES_tradnl"/>
        </w:rPr>
      </w:pPr>
      <w:r w:rsidRPr="00AE2201">
        <w:rPr>
          <w:rFonts w:ascii="Palatino Linotype" w:hAnsi="Palatino Linotype" w:cs="Arial"/>
          <w:b/>
          <w:sz w:val="28"/>
          <w:szCs w:val="28"/>
        </w:rPr>
        <w:t>CUARTO.</w:t>
      </w:r>
      <w:r w:rsidRPr="00AE2201">
        <w:rPr>
          <w:rFonts w:ascii="Palatino Linotype" w:hAnsi="Palatino Linotype" w:cs="Arial"/>
          <w:b/>
        </w:rPr>
        <w:t xml:space="preserve"> Oportunidad. </w:t>
      </w:r>
      <w:r w:rsidRPr="00AE2201">
        <w:rPr>
          <w:rFonts w:ascii="Palatino Linotype" w:hAnsi="Palatino Linotype" w:cs="Arial"/>
        </w:rPr>
        <w:t xml:space="preserve">Los recursos de revisión fueron interpuestos dentro del plazo de quince días hábiles </w:t>
      </w:r>
      <w:r w:rsidRPr="00AE2201">
        <w:rPr>
          <w:rFonts w:ascii="Palatino Linotype" w:hAnsi="Palatino Linotype"/>
        </w:rPr>
        <w:t>contados</w:t>
      </w:r>
      <w:r w:rsidRPr="00AE2201">
        <w:rPr>
          <w:rFonts w:ascii="Palatino Linotype" w:hAnsi="Palatino Linotype" w:cs="Arial"/>
        </w:rPr>
        <w:t xml:space="preserve"> a </w:t>
      </w:r>
      <w:r w:rsidRPr="00AE2201">
        <w:rPr>
          <w:rFonts w:ascii="Palatino Linotype" w:hAnsi="Palatino Linotype"/>
        </w:rPr>
        <w:t>partir</w:t>
      </w:r>
      <w:r w:rsidRPr="00AE2201">
        <w:rPr>
          <w:rFonts w:ascii="Palatino Linotype" w:hAnsi="Palatino Linotype" w:cs="Arial"/>
        </w:rPr>
        <w:t xml:space="preserve"> del día siguiente al que </w:t>
      </w:r>
      <w:r w:rsidRPr="00AE2201">
        <w:rPr>
          <w:rFonts w:ascii="Palatino Linotype" w:hAnsi="Palatino Linotype" w:cs="Arial"/>
          <w:b/>
          <w:bCs/>
        </w:rPr>
        <w:t xml:space="preserve">EL RECURRENTE </w:t>
      </w:r>
      <w:r w:rsidRPr="00AE2201">
        <w:rPr>
          <w:rFonts w:ascii="Palatino Linotype" w:hAnsi="Palatino Linotype" w:cs="Arial"/>
        </w:rPr>
        <w:t>tuvo conocimiento de las respuestas impugnadas, tal y como lo prevé el artículo 178 de la Ley de Transparencia y Acceso a la Información Pública del Estado de México y Municipios, que establece:</w:t>
      </w:r>
    </w:p>
    <w:p w:rsidR="00A46E1F" w:rsidRPr="00AE2201" w:rsidRDefault="00A46E1F" w:rsidP="00A46E1F">
      <w:pPr>
        <w:spacing w:before="120" w:after="120"/>
        <w:ind w:left="851" w:right="899"/>
        <w:jc w:val="both"/>
        <w:rPr>
          <w:rFonts w:ascii="Palatino Linotype" w:hAnsi="Palatino Linotype" w:cs="Arial"/>
          <w:i/>
          <w:sz w:val="22"/>
          <w:szCs w:val="22"/>
        </w:rPr>
      </w:pPr>
      <w:r w:rsidRPr="00AE2201">
        <w:rPr>
          <w:rFonts w:ascii="Palatino Linotype" w:hAnsi="Palatino Linotype" w:cs="Arial"/>
          <w:i/>
          <w:sz w:val="22"/>
          <w:szCs w:val="22"/>
        </w:rPr>
        <w:t>“</w:t>
      </w:r>
      <w:r w:rsidRPr="00AE2201">
        <w:rPr>
          <w:rFonts w:ascii="Palatino Linotype" w:hAnsi="Palatino Linotype" w:cs="Arial"/>
          <w:b/>
          <w:i/>
          <w:sz w:val="22"/>
          <w:szCs w:val="22"/>
        </w:rPr>
        <w:t>Artículo 178.</w:t>
      </w:r>
      <w:r w:rsidRPr="00AE2201">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A46E1F" w:rsidRPr="00AE2201" w:rsidRDefault="00A46E1F" w:rsidP="00A46E1F">
      <w:pPr>
        <w:spacing w:before="120" w:after="120"/>
        <w:ind w:left="851" w:right="899"/>
        <w:jc w:val="both"/>
        <w:rPr>
          <w:rFonts w:ascii="Palatino Linotype" w:hAnsi="Palatino Linotype" w:cs="Arial"/>
          <w:i/>
          <w:sz w:val="22"/>
          <w:szCs w:val="22"/>
        </w:rPr>
      </w:pPr>
      <w:r w:rsidRPr="00AE2201">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A46E1F" w:rsidRPr="00AE2201" w:rsidRDefault="00A46E1F" w:rsidP="00A46E1F">
      <w:pPr>
        <w:spacing w:before="120" w:after="120"/>
        <w:ind w:left="851" w:right="899"/>
        <w:jc w:val="both"/>
        <w:rPr>
          <w:rFonts w:ascii="Palatino Linotype" w:hAnsi="Palatino Linotype" w:cs="Arial"/>
          <w:i/>
          <w:sz w:val="22"/>
          <w:szCs w:val="22"/>
        </w:rPr>
      </w:pPr>
      <w:r w:rsidRPr="00AE2201">
        <w:rPr>
          <w:rFonts w:ascii="Palatino Linotype" w:hAnsi="Palatino Linotype" w:cs="Arial"/>
          <w:i/>
          <w:sz w:val="22"/>
          <w:szCs w:val="22"/>
        </w:rPr>
        <w:t>En el caso de que se interponga ante la Unidad de Transparencia, ésta deberá remitir el recurso de revisión al Instituto a más tardar al día siguiente de haberlo recibido.”</w:t>
      </w:r>
    </w:p>
    <w:p w:rsidR="00A46E1F" w:rsidRPr="00AE2201" w:rsidRDefault="00A46E1F" w:rsidP="00A46E1F">
      <w:pPr>
        <w:spacing w:before="100" w:beforeAutospacing="1" w:after="100" w:afterAutospacing="1" w:line="360" w:lineRule="auto"/>
        <w:jc w:val="both"/>
        <w:rPr>
          <w:rFonts w:ascii="Palatino Linotype" w:hAnsi="Palatino Linotype" w:cs="Arial"/>
        </w:rPr>
      </w:pPr>
      <w:r w:rsidRPr="00AE2201">
        <w:rPr>
          <w:rFonts w:ascii="Palatino Linotype" w:hAnsi="Palatino Linotype" w:cs="Arial"/>
        </w:rPr>
        <w:t xml:space="preserve">En esa tesitura, atendiendo a que </w:t>
      </w:r>
      <w:r w:rsidRPr="00AE2201">
        <w:rPr>
          <w:rFonts w:ascii="Palatino Linotype" w:hAnsi="Palatino Linotype" w:cs="Arial"/>
          <w:b/>
        </w:rPr>
        <w:t>EL SUJETO OBLIGADO</w:t>
      </w:r>
      <w:r w:rsidRPr="00AE2201">
        <w:rPr>
          <w:rFonts w:ascii="Palatino Linotype" w:hAnsi="Palatino Linotype" w:cs="Arial"/>
        </w:rPr>
        <w:t xml:space="preserve"> notificó las respuestas a las solicitud de información pública en fechas </w:t>
      </w:r>
      <w:r w:rsidRPr="00AE2201">
        <w:rPr>
          <w:rFonts w:ascii="Palatino Linotype" w:hAnsi="Palatino Linotype" w:cs="Arial"/>
          <w:b/>
        </w:rPr>
        <w:t xml:space="preserve">diecisiete y veinticuatro de septiembre de dos mil dieciocho; </w:t>
      </w:r>
      <w:r w:rsidRPr="00AE2201">
        <w:rPr>
          <w:rFonts w:ascii="Palatino Linotype" w:hAnsi="Palatino Linotype" w:cs="Arial"/>
        </w:rPr>
        <w:t xml:space="preserve">así, el plazo de quince días hábiles que el artículo 178 de la Ley de </w:t>
      </w:r>
      <w:r w:rsidRPr="00AE2201">
        <w:rPr>
          <w:rFonts w:ascii="Palatino Linotype" w:hAnsi="Palatino Linotype" w:cs="Arial"/>
        </w:rPr>
        <w:lastRenderedPageBreak/>
        <w:t>la materia otorga al hoy</w:t>
      </w:r>
      <w:r w:rsidRPr="00AE2201">
        <w:rPr>
          <w:rFonts w:ascii="Palatino Linotype" w:hAnsi="Palatino Linotype" w:cs="Arial"/>
          <w:b/>
        </w:rPr>
        <w:t xml:space="preserve"> RECURRENTE </w:t>
      </w:r>
      <w:r w:rsidRPr="00AE2201">
        <w:rPr>
          <w:rFonts w:ascii="Palatino Linotype" w:hAnsi="Palatino Linotype" w:cs="Arial"/>
        </w:rPr>
        <w:t xml:space="preserve">para presentar los recursos de revisión, transcurrió del </w:t>
      </w:r>
      <w:r w:rsidRPr="00AE2201">
        <w:rPr>
          <w:rFonts w:ascii="Palatino Linotype" w:hAnsi="Palatino Linotype" w:cs="Arial"/>
          <w:b/>
        </w:rPr>
        <w:t>dieciocho de septiembre al ocho de octubre y del veinticinco de septiembre al quine de octubre de dos mil dieciocho</w:t>
      </w:r>
      <w:r w:rsidRPr="00AE2201">
        <w:rPr>
          <w:rFonts w:ascii="Palatino Linotype" w:hAnsi="Palatino Linotype" w:cs="Arial"/>
        </w:rPr>
        <w:t xml:space="preserve">, sin contemplar en los cómputos los días veintidós, veintitrés, veintinueve y treinta de septiembre, seis, siete, trece y catorce de octubre del presente año, al corresponder a sábados y domingos, considerados como días inhábiles, en términos del artículo 3, fracción X de la </w:t>
      </w:r>
      <w:r w:rsidRPr="00AE2201">
        <w:rPr>
          <w:rFonts w:ascii="Palatino Linotype" w:hAnsi="Palatino Linotype"/>
        </w:rPr>
        <w:t xml:space="preserve">Ley de Transparencia y Acceso a la Información Pública del Estado de México y Municipios. </w:t>
      </w:r>
    </w:p>
    <w:p w:rsidR="00A46E1F" w:rsidRPr="00AE2201" w:rsidRDefault="00A46E1F" w:rsidP="00A46E1F">
      <w:pPr>
        <w:spacing w:before="200" w:after="200" w:line="360" w:lineRule="auto"/>
        <w:jc w:val="both"/>
        <w:rPr>
          <w:rFonts w:ascii="Palatino Linotype" w:hAnsi="Palatino Linotype" w:cs="Arial"/>
        </w:rPr>
      </w:pPr>
      <w:r w:rsidRPr="00AE2201">
        <w:rPr>
          <w:rFonts w:ascii="Palatino Linotype" w:hAnsi="Palatino Linotype" w:cs="Arial"/>
        </w:rPr>
        <w:t xml:space="preserve">En ese tenor, si los recursos de revisión que nos ocupan, se interpusieron los días </w:t>
      </w:r>
      <w:r w:rsidRPr="00AE2201">
        <w:rPr>
          <w:rFonts w:ascii="Palatino Linotype" w:hAnsi="Palatino Linotype" w:cs="Arial"/>
          <w:b/>
        </w:rPr>
        <w:t>veintitrés y veintisiete de septiembre de dos mil dieciocho</w:t>
      </w:r>
      <w:r w:rsidRPr="00AE2201">
        <w:rPr>
          <w:rFonts w:ascii="Palatino Linotype" w:hAnsi="Palatino Linotype" w:cs="Arial"/>
        </w:rPr>
        <w:t>, éstos se encuentran dentro de los márgenes temporales previstos en el artículo 178 de la Ley de Transparencia y Acceso a la Información</w:t>
      </w:r>
      <w:r w:rsidRPr="00AE2201">
        <w:rPr>
          <w:rFonts w:ascii="Palatino Linotype" w:hAnsi="Palatino Linotype"/>
        </w:rPr>
        <w:t xml:space="preserve"> Pública del Estado de México y Municipios</w:t>
      </w:r>
      <w:r w:rsidRPr="00AE2201">
        <w:rPr>
          <w:rFonts w:ascii="Palatino Linotype" w:hAnsi="Palatino Linotype" w:cs="Arial"/>
        </w:rPr>
        <w:t xml:space="preserve"> y, por tanto, su interposición se considera oportuna.</w:t>
      </w:r>
    </w:p>
    <w:p w:rsidR="00A46E1F" w:rsidRPr="00AE2201" w:rsidRDefault="00A46E1F" w:rsidP="00A46E1F">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rPr>
      </w:pPr>
      <w:r w:rsidRPr="00AE2201">
        <w:rPr>
          <w:rFonts w:ascii="Palatino Linotype" w:hAnsi="Palatino Linotype" w:cs="Arial"/>
          <w:b/>
          <w:sz w:val="28"/>
          <w:szCs w:val="28"/>
        </w:rPr>
        <w:t>QUINTO.</w:t>
      </w:r>
      <w:r w:rsidRPr="00AE2201">
        <w:rPr>
          <w:rFonts w:ascii="Palatino Linotype" w:hAnsi="Palatino Linotype" w:cs="Arial"/>
          <w:b/>
          <w:szCs w:val="28"/>
        </w:rPr>
        <w:t xml:space="preserve"> Procedibilidad. </w:t>
      </w:r>
      <w:r w:rsidRPr="00AE2201">
        <w:rPr>
          <w:rFonts w:ascii="Palatino Linotype" w:hAnsi="Palatino Linotype" w:cs="Arial"/>
        </w:rPr>
        <w:t xml:space="preserve">Del análisis efectuado, se advierte la procedibilidad de los presentes recursos de revisión, en razón de la acreditación </w:t>
      </w:r>
      <w:r w:rsidRPr="00AE2201">
        <w:rPr>
          <w:rFonts w:ascii="Palatino Linotype" w:hAnsi="Palatino Linotype" w:cs="Arial"/>
          <w:snapToGrid w:val="0"/>
        </w:rPr>
        <w:t>plena</w:t>
      </w:r>
      <w:r w:rsidRPr="00AE2201">
        <w:rPr>
          <w:rFonts w:ascii="Palatino Linotype" w:hAnsi="Palatino Linotype" w:cs="Arial"/>
        </w:rPr>
        <w:t xml:space="preserve"> de todos y cada uno de los elementos formales exigidos por el artículo 180 de la Ley de Transparencia y Acceso a la Información</w:t>
      </w:r>
      <w:r w:rsidRPr="00AE2201">
        <w:rPr>
          <w:rFonts w:ascii="Palatino Linotype" w:hAnsi="Palatino Linotype"/>
        </w:rPr>
        <w:t xml:space="preserve"> Pública del Estado de México y Municipios, en atención a que fueron presentados mediante el formato visible en </w:t>
      </w:r>
      <w:r w:rsidRPr="00AE2201">
        <w:rPr>
          <w:rFonts w:ascii="Palatino Linotype" w:hAnsi="Palatino Linotype"/>
          <w:b/>
        </w:rPr>
        <w:t>EL SAIMEX</w:t>
      </w:r>
      <w:r w:rsidRPr="00AE2201">
        <w:rPr>
          <w:rFonts w:ascii="Palatino Linotype" w:hAnsi="Palatino Linotype"/>
        </w:rPr>
        <w:t>.</w:t>
      </w:r>
    </w:p>
    <w:p w:rsidR="00A46E1F" w:rsidRPr="00AE2201" w:rsidRDefault="00A46E1F" w:rsidP="00A46E1F">
      <w:pPr>
        <w:spacing w:before="240" w:after="240" w:line="360" w:lineRule="auto"/>
        <w:jc w:val="both"/>
        <w:rPr>
          <w:rFonts w:ascii="Palatino Linotype" w:hAnsi="Palatino Linotype"/>
        </w:rPr>
      </w:pPr>
      <w:r w:rsidRPr="00AE2201">
        <w:rPr>
          <w:rFonts w:ascii="Palatino Linotype" w:hAnsi="Palatino Linotype"/>
          <w:b/>
          <w:sz w:val="28"/>
          <w:szCs w:val="28"/>
        </w:rPr>
        <w:t>SEXTO.</w:t>
      </w:r>
      <w:bookmarkStart w:id="2" w:name="_Ref456193347"/>
      <w:r w:rsidRPr="00AE2201">
        <w:rPr>
          <w:rFonts w:ascii="Palatino Linotype" w:hAnsi="Palatino Linotype" w:cs="Arial"/>
          <w:b/>
        </w:rPr>
        <w:t xml:space="preserve"> Estudio y resolución del asunto. </w:t>
      </w:r>
      <w:r w:rsidRPr="00AE2201">
        <w:rPr>
          <w:rFonts w:ascii="Palatino Linotype" w:hAnsi="Palatino Linotype" w:cs="Arial"/>
          <w:color w:val="000000" w:themeColor="text1"/>
        </w:rPr>
        <w:t xml:space="preserve">Una vez determinada la vía sobre la que versarán los </w:t>
      </w:r>
      <w:r w:rsidRPr="00AE2201">
        <w:rPr>
          <w:rFonts w:ascii="Palatino Linotype" w:hAnsi="Palatino Linotype" w:cs="Arial"/>
        </w:rPr>
        <w:t>presentes</w:t>
      </w:r>
      <w:r w:rsidRPr="00AE2201">
        <w:rPr>
          <w:rFonts w:ascii="Palatino Linotype" w:hAnsi="Palatino Linotype" w:cs="Arial"/>
          <w:color w:val="000000" w:themeColor="text1"/>
        </w:rPr>
        <w:t xml:space="preserve"> recursos y previa revisión de los expedientes electrónicos, se advierte que </w:t>
      </w:r>
      <w:r w:rsidRPr="00AE2201">
        <w:rPr>
          <w:rFonts w:ascii="Palatino Linotype" w:hAnsi="Palatino Linotype"/>
          <w:b/>
          <w:color w:val="000000"/>
        </w:rPr>
        <w:t>EL RECURRENTE</w:t>
      </w:r>
      <w:r w:rsidRPr="00AE2201">
        <w:rPr>
          <w:rFonts w:ascii="Palatino Linotype" w:hAnsi="Palatino Linotype"/>
          <w:color w:val="000000"/>
        </w:rPr>
        <w:t xml:space="preserve"> solicitó </w:t>
      </w:r>
      <w:r w:rsidRPr="00AE2201">
        <w:rPr>
          <w:rFonts w:ascii="Palatino Linotype" w:hAnsi="Palatino Linotype" w:cs="Arial"/>
        </w:rPr>
        <w:t>del</w:t>
      </w:r>
      <w:r w:rsidRPr="00AE2201">
        <w:rPr>
          <w:rFonts w:ascii="Palatino Linotype" w:hAnsi="Palatino Linotype"/>
          <w:color w:val="000000"/>
        </w:rPr>
        <w:t xml:space="preserve"> </w:t>
      </w:r>
      <w:r w:rsidRPr="00AE2201">
        <w:rPr>
          <w:rFonts w:ascii="Palatino Linotype" w:hAnsi="Palatino Linotype" w:cs="Arial"/>
          <w:b/>
          <w:color w:val="000000"/>
        </w:rPr>
        <w:t>SUJETO OBLIGADO</w:t>
      </w:r>
      <w:r w:rsidRPr="00AE2201">
        <w:rPr>
          <w:rFonts w:ascii="Palatino Linotype" w:hAnsi="Palatino Linotype" w:cs="Arial"/>
        </w:rPr>
        <w:t xml:space="preserve">, </w:t>
      </w:r>
      <w:r w:rsidRPr="00AE2201">
        <w:rPr>
          <w:rFonts w:ascii="Palatino Linotype" w:hAnsi="Palatino Linotype"/>
        </w:rPr>
        <w:t xml:space="preserve">vía </w:t>
      </w:r>
      <w:r w:rsidRPr="00AE2201">
        <w:rPr>
          <w:rFonts w:ascii="Palatino Linotype" w:hAnsi="Palatino Linotype"/>
          <w:b/>
        </w:rPr>
        <w:t>EL</w:t>
      </w:r>
      <w:r w:rsidRPr="00AE2201">
        <w:rPr>
          <w:rFonts w:ascii="Palatino Linotype" w:hAnsi="Palatino Linotype"/>
        </w:rPr>
        <w:t xml:space="preserve"> </w:t>
      </w:r>
      <w:r w:rsidRPr="00AE2201">
        <w:rPr>
          <w:rFonts w:ascii="Palatino Linotype" w:hAnsi="Palatino Linotype"/>
          <w:b/>
        </w:rPr>
        <w:t>SAIMEX</w:t>
      </w:r>
      <w:r w:rsidRPr="00AE2201">
        <w:rPr>
          <w:rFonts w:ascii="Palatino Linotype" w:hAnsi="Palatino Linotype"/>
        </w:rPr>
        <w:t xml:space="preserve">, </w:t>
      </w:r>
      <w:r w:rsidRPr="00AE2201">
        <w:rPr>
          <w:rFonts w:ascii="Palatino Linotype" w:hAnsi="Palatino Linotype"/>
        </w:rPr>
        <w:lastRenderedPageBreak/>
        <w:t>información relacionada con los requerimientos de pago que se entregaron a la Universidad Autónoma del Estado de México de los años 2015, 2016, 2017 y 2018.</w:t>
      </w:r>
    </w:p>
    <w:p w:rsidR="00A46E1F" w:rsidRPr="00AE2201" w:rsidRDefault="00A46E1F" w:rsidP="00A46E1F">
      <w:pPr>
        <w:spacing w:before="240" w:after="240" w:line="360" w:lineRule="auto"/>
        <w:jc w:val="both"/>
        <w:rPr>
          <w:rFonts w:ascii="Palatino Linotype" w:hAnsi="Palatino Linotype"/>
        </w:rPr>
      </w:pPr>
      <w:r w:rsidRPr="00AE2201">
        <w:rPr>
          <w:rFonts w:ascii="Palatino Linotype" w:hAnsi="Palatino Linotype"/>
        </w:rPr>
        <w:t xml:space="preserve">En ese orden de ideas, de las constancias que obran en los expedientes del SAIMEX, se advierte que </w:t>
      </w:r>
      <w:r w:rsidRPr="00AE2201">
        <w:rPr>
          <w:rFonts w:ascii="Palatino Linotype" w:hAnsi="Palatino Linotype"/>
          <w:b/>
        </w:rPr>
        <w:t xml:space="preserve">EL SUJETO OBLIGADO </w:t>
      </w:r>
      <w:r w:rsidRPr="00AE2201">
        <w:rPr>
          <w:rFonts w:ascii="Palatino Linotype" w:hAnsi="Palatino Linotype"/>
        </w:rPr>
        <w:t>en respuesta a las solicitudes de información argumentó esencialmente que la información solicitada había sido clasificada como reservada por su Comité de Transparencia, encontrándose impedido para poder entregarla al particular.</w:t>
      </w:r>
    </w:p>
    <w:p w:rsidR="00A46E1F" w:rsidRPr="00AE2201" w:rsidRDefault="00A46E1F" w:rsidP="00A46E1F">
      <w:pPr>
        <w:spacing w:before="240" w:after="240" w:line="360" w:lineRule="auto"/>
        <w:jc w:val="both"/>
        <w:rPr>
          <w:rFonts w:ascii="Palatino Linotype" w:hAnsi="Palatino Linotype"/>
        </w:rPr>
      </w:pPr>
      <w:r w:rsidRPr="00AE2201">
        <w:rPr>
          <w:rFonts w:ascii="Palatino Linotype" w:hAnsi="Palatino Linotype"/>
        </w:rPr>
        <w:t>Inconforme con las respuestas proporcionadas, el particular interpuso los recursos de revisión que nos ocupan en los que refirió como acto impugnado y razones o motivos de inconformidad lo expuesto en el Resultando IV de la presente resolución.</w:t>
      </w:r>
    </w:p>
    <w:p w:rsidR="00A46E1F" w:rsidRPr="00AE2201" w:rsidRDefault="00A46E1F" w:rsidP="00A46E1F">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AE2201">
        <w:rPr>
          <w:rFonts w:ascii="Palatino Linotype" w:hAnsi="Palatino Linotype"/>
        </w:rPr>
        <w:t xml:space="preserve">Bajo ese tenor, </w:t>
      </w:r>
      <w:r w:rsidRPr="00AE2201">
        <w:rPr>
          <w:rFonts w:ascii="Palatino Linotype" w:hAnsi="Palatino Linotype"/>
          <w:b/>
        </w:rPr>
        <w:t xml:space="preserve">EL SUJETO OBLIGADO </w:t>
      </w:r>
      <w:r w:rsidRPr="00AE2201">
        <w:rPr>
          <w:rFonts w:ascii="Palatino Linotype" w:hAnsi="Palatino Linotype"/>
        </w:rPr>
        <w:t xml:space="preserve">mediante sus Informes Justificados esencialmente ratificó sus respuestas, argumentando que </w:t>
      </w:r>
      <w:r w:rsidRPr="00AE2201">
        <w:rPr>
          <w:rFonts w:ascii="Palatino Linotype" w:hAnsi="Palatino Linotype" w:cs="Arial"/>
          <w:color w:val="000000"/>
          <w:lang w:val="es-ES_tradnl"/>
        </w:rPr>
        <w:t xml:space="preserve">negó la información porque la divulgación de la misma podría causar un perjuicio a las actividades de orden público e interés general que legalmente tiene conferidas el ISSEMYM. </w:t>
      </w:r>
    </w:p>
    <w:p w:rsidR="00A46E1F" w:rsidRPr="00AE2201" w:rsidRDefault="00A46E1F" w:rsidP="00A46E1F">
      <w:pPr>
        <w:spacing w:before="100" w:beforeAutospacing="1" w:after="100" w:afterAutospacing="1" w:line="360" w:lineRule="auto"/>
        <w:jc w:val="both"/>
        <w:rPr>
          <w:rFonts w:ascii="Palatino Linotype" w:hAnsi="Palatino Linotype"/>
        </w:rPr>
      </w:pPr>
      <w:r w:rsidRPr="00AE2201">
        <w:rPr>
          <w:rFonts w:ascii="Palatino Linotype" w:hAnsi="Palatino Linotype"/>
        </w:rPr>
        <w:t xml:space="preserve">En primer término, </w:t>
      </w:r>
      <w:r w:rsidRPr="00AE2201">
        <w:rPr>
          <w:rFonts w:ascii="Palatino Linotype" w:hAnsi="Palatino Linotype" w:cs="Arial"/>
        </w:rPr>
        <w:t>se obvia el análisis de la competencia por parte del</w:t>
      </w:r>
      <w:r w:rsidRPr="00AE2201">
        <w:rPr>
          <w:rFonts w:ascii="Palatino Linotype" w:hAnsi="Palatino Linotype" w:cs="Arial"/>
          <w:b/>
        </w:rPr>
        <w:t xml:space="preserve"> SUJETO OBLIGADO</w:t>
      </w:r>
      <w:r w:rsidRPr="00AE2201">
        <w:rPr>
          <w:rFonts w:ascii="Palatino Linotype" w:hAnsi="Palatino Linotype" w:cs="Arial"/>
        </w:rPr>
        <w:t xml:space="preserve">, </w:t>
      </w:r>
      <w:r w:rsidRPr="00AE2201">
        <w:rPr>
          <w:rFonts w:ascii="Palatino Linotype" w:hAnsi="Palatino Linotype"/>
        </w:rPr>
        <w:t xml:space="preserve">para generar, administrar o poseer la información solicitada, </w:t>
      </w:r>
      <w:r w:rsidRPr="00AE2201">
        <w:rPr>
          <w:rFonts w:ascii="Palatino Linotype" w:hAnsi="Palatino Linotype" w:cs="Arial"/>
        </w:rPr>
        <w:t xml:space="preserve">dado que éste ha </w:t>
      </w:r>
      <w:r w:rsidRPr="00AE2201">
        <w:rPr>
          <w:rFonts w:ascii="Palatino Linotype" w:hAnsi="Palatino Linotype" w:cs="Arial"/>
          <w:color w:val="000000"/>
        </w:rPr>
        <w:t>asumido</w:t>
      </w:r>
      <w:r w:rsidRPr="00AE2201">
        <w:rPr>
          <w:rFonts w:ascii="Palatino Linotype" w:hAnsi="Palatino Linotype" w:cs="Arial"/>
        </w:rPr>
        <w:t xml:space="preserve"> la misma, </w:t>
      </w:r>
      <w:r w:rsidRPr="00AE2201">
        <w:rPr>
          <w:rFonts w:ascii="Palatino Linotype" w:hAnsi="Palatino Linotype"/>
        </w:rPr>
        <w:t xml:space="preserve">en razón de que mediante sus respuestas argumentó que el Comité de Transparencia había clasificado la información como reservada. En efecto, el hecho de que </w:t>
      </w:r>
      <w:r w:rsidRPr="00AE2201">
        <w:rPr>
          <w:rFonts w:ascii="Palatino Linotype" w:hAnsi="Palatino Linotype"/>
          <w:b/>
        </w:rPr>
        <w:t>EL SUJETO OBLIGADO</w:t>
      </w:r>
      <w:r w:rsidRPr="00AE2201">
        <w:rPr>
          <w:rFonts w:ascii="Palatino Linotype" w:hAnsi="Palatino Linotype"/>
        </w:rPr>
        <w:t xml:space="preserve"> se haya pronunciado respecto de la información solicitada manifestando que la reservaba, </w:t>
      </w:r>
      <w:r w:rsidRPr="00AE2201">
        <w:rPr>
          <w:rFonts w:ascii="Palatino Linotype" w:hAnsi="Palatino Linotype" w:cs="Arial"/>
        </w:rPr>
        <w:t xml:space="preserve">es que </w:t>
      </w:r>
      <w:r w:rsidRPr="00AE2201">
        <w:rPr>
          <w:rFonts w:ascii="Palatino Linotype" w:hAnsi="Palatino Linotype"/>
        </w:rPr>
        <w:t xml:space="preserve">acepta que genera, posee y administra dicha información en ejercicio de sus funciones de derecho público, </w:t>
      </w:r>
      <w:r w:rsidRPr="00AE2201">
        <w:rPr>
          <w:rFonts w:ascii="Palatino Linotype" w:hAnsi="Palatino Linotype"/>
        </w:rPr>
        <w:lastRenderedPageBreak/>
        <w:t>motivo por el cual se actualiza el supuesto jurídico, previsto en el artículo 12 de la Ley de Transparencia y Acceso a la Información Pública del Estado de México y Municipios.</w:t>
      </w:r>
    </w:p>
    <w:p w:rsidR="00A46E1F" w:rsidRPr="00AE2201" w:rsidRDefault="00A46E1F" w:rsidP="00A46E1F">
      <w:pPr>
        <w:spacing w:before="100" w:beforeAutospacing="1" w:after="100" w:afterAutospacing="1" w:line="360" w:lineRule="auto"/>
        <w:ind w:right="49"/>
        <w:jc w:val="both"/>
        <w:rPr>
          <w:rFonts w:ascii="Palatino Linotype" w:hAnsi="Palatino Linotype"/>
        </w:rPr>
      </w:pPr>
      <w:r w:rsidRPr="00AE2201">
        <w:rPr>
          <w:rFonts w:ascii="Palatino Linotype" w:hAnsi="Palatino Linotype"/>
        </w:rPr>
        <w:t xml:space="preserve">Así, el estudio de la naturaleza jurídica de la información pública solicitada, tiene por objeto determinar si ésta la genera, posee o administra </w:t>
      </w:r>
      <w:r w:rsidRPr="00AE2201">
        <w:rPr>
          <w:rFonts w:ascii="Palatino Linotype" w:hAnsi="Palatino Linotype"/>
          <w:b/>
        </w:rPr>
        <w:t>EL SUJETO OBLIGADO</w:t>
      </w:r>
      <w:r w:rsidRPr="00AE2201">
        <w:rPr>
          <w:rFonts w:ascii="Palatino Linotype" w:hAnsi="Palatino Linotype"/>
        </w:rPr>
        <w:t xml:space="preserve">; sin embargo, en aquellos casos en que éste la asume, a nada práctico nos conduciría su estudio, ya que se insiste la información pública solicitada, fue asumida por </w:t>
      </w:r>
      <w:r w:rsidRPr="00AE2201">
        <w:rPr>
          <w:rFonts w:ascii="Palatino Linotype" w:hAnsi="Palatino Linotype"/>
          <w:b/>
        </w:rPr>
        <w:t>EL SUJETO OBLIGADO</w:t>
      </w:r>
      <w:r w:rsidRPr="00AE2201">
        <w:rPr>
          <w:rFonts w:ascii="Palatino Linotype" w:hAnsi="Palatino Linotype"/>
        </w:rPr>
        <w:t>.</w:t>
      </w:r>
    </w:p>
    <w:p w:rsidR="00A46E1F" w:rsidRPr="00AE2201" w:rsidRDefault="00A46E1F" w:rsidP="00A46E1F">
      <w:pPr>
        <w:spacing w:before="200" w:after="200" w:line="360" w:lineRule="auto"/>
        <w:jc w:val="both"/>
        <w:rPr>
          <w:rFonts w:ascii="Palatino Linotype" w:hAnsi="Palatino Linotype"/>
          <w:szCs w:val="17"/>
          <w:lang w:eastAsia="es-ES_tradnl"/>
        </w:rPr>
      </w:pPr>
      <w:r w:rsidRPr="00AE2201">
        <w:rPr>
          <w:rFonts w:ascii="Palatino Linotype" w:hAnsi="Palatino Linotype"/>
        </w:rPr>
        <w:t xml:space="preserve">Ahora bien, de lo manifestado tanto en acto impugnado como en las razones o motivos de inconformidad, se advierte que </w:t>
      </w:r>
      <w:r w:rsidRPr="00AE2201">
        <w:rPr>
          <w:rFonts w:ascii="Palatino Linotype" w:hAnsi="Palatino Linotype"/>
          <w:b/>
        </w:rPr>
        <w:t>EL RECURRENTE</w:t>
      </w:r>
      <w:r w:rsidRPr="00AE2201">
        <w:rPr>
          <w:rFonts w:ascii="Palatino Linotype" w:hAnsi="Palatino Linotype"/>
        </w:rPr>
        <w:t xml:space="preserve"> argumentó que le fue negada la información debido a que </w:t>
      </w:r>
      <w:r w:rsidRPr="00AE2201">
        <w:rPr>
          <w:rFonts w:ascii="Palatino Linotype" w:hAnsi="Palatino Linotype"/>
          <w:b/>
        </w:rPr>
        <w:t xml:space="preserve">EL SUJETO OBLIGADO </w:t>
      </w:r>
      <w:r w:rsidRPr="00AE2201">
        <w:rPr>
          <w:rFonts w:ascii="Palatino Linotype" w:hAnsi="Palatino Linotype"/>
        </w:rPr>
        <w:t xml:space="preserve">la reserva sin haber realizado la prueba de daño correspondiente violentando su derechos de acceso a la información, utilizando de manera indebida y dolosa la Ley de la materia; por lo que, se considera que las razones o motivos de inconformidad devienen </w:t>
      </w:r>
      <w:r w:rsidRPr="00AE2201">
        <w:rPr>
          <w:rFonts w:ascii="Palatino Linotype" w:hAnsi="Palatino Linotype"/>
          <w:b/>
        </w:rPr>
        <w:t>parcialmente fundadas</w:t>
      </w:r>
      <w:r w:rsidRPr="00AE2201">
        <w:rPr>
          <w:rFonts w:ascii="Palatino Linotype" w:hAnsi="Palatino Linotype"/>
        </w:rPr>
        <w:t xml:space="preserve"> además de que se actualizan los supuestos de procedencia previstos en las fracciones I y II del artículo 179 </w:t>
      </w:r>
      <w:r w:rsidRPr="00AE2201">
        <w:rPr>
          <w:rFonts w:ascii="Palatino Linotype" w:hAnsi="Palatino Linotype"/>
          <w:szCs w:val="17"/>
          <w:lang w:eastAsia="es-ES_tradnl"/>
        </w:rPr>
        <w:t>de la Ley de Transparencia y Acceso a la Información Pública del Estado de México y Municipios</w:t>
      </w:r>
      <w:r w:rsidRPr="00AE2201">
        <w:rPr>
          <w:rStyle w:val="Refdenotaalpie"/>
          <w:rFonts w:ascii="Palatino Linotype" w:hAnsi="Palatino Linotype"/>
        </w:rPr>
        <w:footnoteReference w:id="1"/>
      </w:r>
      <w:r w:rsidRPr="00AE2201">
        <w:rPr>
          <w:rFonts w:ascii="Palatino Linotype" w:hAnsi="Palatino Linotype"/>
          <w:szCs w:val="17"/>
          <w:lang w:eastAsia="es-ES_tradnl"/>
        </w:rPr>
        <w:t xml:space="preserve">. </w:t>
      </w:r>
    </w:p>
    <w:p w:rsidR="00A46E1F" w:rsidRPr="00AE2201" w:rsidRDefault="00A46E1F" w:rsidP="00A46E1F">
      <w:pPr>
        <w:spacing w:before="240" w:after="240" w:line="360" w:lineRule="auto"/>
        <w:ind w:right="49"/>
        <w:jc w:val="both"/>
        <w:rPr>
          <w:rFonts w:ascii="Palatino Linotype" w:hAnsi="Palatino Linotype" w:cs="Arial"/>
        </w:rPr>
      </w:pPr>
      <w:r w:rsidRPr="00AE2201">
        <w:rPr>
          <w:rFonts w:ascii="Palatino Linotype" w:hAnsi="Palatino Linotype"/>
          <w:szCs w:val="17"/>
          <w:lang w:eastAsia="es-ES_tradnl"/>
        </w:rPr>
        <w:lastRenderedPageBreak/>
        <w:t xml:space="preserve">Por tanto, </w:t>
      </w:r>
      <w:r w:rsidRPr="00AE2201">
        <w:rPr>
          <w:rFonts w:ascii="Palatino Linotype" w:hAnsi="Palatino Linotype" w:cs="Arial"/>
        </w:rPr>
        <w:t xml:space="preserve">es necesario hacer hincapié que no basta con que </w:t>
      </w:r>
      <w:r w:rsidRPr="00AE2201">
        <w:rPr>
          <w:rFonts w:ascii="Palatino Linotype" w:hAnsi="Palatino Linotype" w:cs="Arial"/>
          <w:b/>
        </w:rPr>
        <w:t xml:space="preserve">EL SUJETO OBLIGADO </w:t>
      </w:r>
      <w:r w:rsidRPr="00AE2201">
        <w:rPr>
          <w:rFonts w:ascii="Palatino Linotype" w:hAnsi="Palatino Linotype" w:cs="Arial"/>
        </w:rPr>
        <w:t xml:space="preserve">refiera o invoque que no puede entregar la información porque puede causar un daño, sino que en su caso se debe de seguir un proceso riguroso para su clasificación, es decir, </w:t>
      </w:r>
      <w:r w:rsidRPr="00AE2201">
        <w:rPr>
          <w:rFonts w:ascii="Palatino Linotype" w:hAnsi="Palatino Linotype" w:cs="Arial"/>
          <w:b/>
        </w:rPr>
        <w:t>EL</w:t>
      </w:r>
      <w:r w:rsidRPr="00AE2201">
        <w:rPr>
          <w:rFonts w:ascii="Palatino Linotype" w:hAnsi="Palatino Linotype" w:cs="Arial"/>
        </w:rPr>
        <w:t xml:space="preserve"> </w:t>
      </w:r>
      <w:r w:rsidRPr="00AE2201">
        <w:rPr>
          <w:rFonts w:ascii="Palatino Linotype" w:hAnsi="Palatino Linotype" w:cs="Arial"/>
          <w:b/>
        </w:rPr>
        <w:t xml:space="preserve">SUJETO OBLIGADO </w:t>
      </w:r>
      <w:r w:rsidRPr="00AE2201">
        <w:rPr>
          <w:rFonts w:ascii="Palatino Linotype" w:hAnsi="Palatino Linotype" w:cs="Arial"/>
        </w:rPr>
        <w:t>debe fundar y motivar correctamente la categorización de la información; la cual, consiste en la obligación que tiene todo ente público de expresar los preceptos jurídicos aplicables al asunto motivo del acto y las razones o argumentos de su actuar.</w:t>
      </w:r>
    </w:p>
    <w:p w:rsidR="00A46E1F" w:rsidRPr="00AE2201" w:rsidRDefault="00A46E1F" w:rsidP="00A46E1F">
      <w:pPr>
        <w:spacing w:before="240" w:after="240" w:line="360" w:lineRule="auto"/>
        <w:ind w:right="49"/>
        <w:jc w:val="both"/>
        <w:rPr>
          <w:rFonts w:ascii="Palatino Linotype" w:hAnsi="Palatino Linotype" w:cs="Arial"/>
        </w:rPr>
      </w:pPr>
      <w:r w:rsidRPr="00AE2201">
        <w:rPr>
          <w:rFonts w:ascii="Palatino Linotype" w:hAnsi="Palatino Linotype" w:cs="Arial"/>
        </w:rPr>
        <w:t xml:space="preserve">En ese contexto, conviene precisar que </w:t>
      </w:r>
      <w:r w:rsidRPr="00AE2201">
        <w:rPr>
          <w:rFonts w:ascii="Palatino Linotype" w:hAnsi="Palatino Linotype" w:cs="Arial"/>
          <w:b/>
        </w:rPr>
        <w:t xml:space="preserve">EL SUJETO OBLIGADO </w:t>
      </w:r>
      <w:r w:rsidRPr="00AE2201">
        <w:rPr>
          <w:rFonts w:ascii="Palatino Linotype" w:hAnsi="Palatino Linotype" w:cs="Arial"/>
        </w:rPr>
        <w:t>en los Acuerdos de clasificación de información que remitió en respuesta, únicamente refirió lo que a continuación se inserta:</w:t>
      </w:r>
    </w:p>
    <w:p w:rsidR="00A46E1F" w:rsidRPr="00AE2201" w:rsidRDefault="00A46E1F" w:rsidP="00A46E1F">
      <w:pPr>
        <w:spacing w:before="240" w:after="240" w:line="360" w:lineRule="auto"/>
        <w:ind w:right="49"/>
        <w:jc w:val="center"/>
        <w:rPr>
          <w:rFonts w:ascii="Palatino Linotype" w:hAnsi="Palatino Linotype" w:cs="Arial"/>
        </w:rPr>
      </w:pPr>
      <w:r w:rsidRPr="00AE2201">
        <w:rPr>
          <w:noProof/>
        </w:rPr>
        <mc:AlternateContent>
          <mc:Choice Requires="wps">
            <w:drawing>
              <wp:anchor distT="0" distB="0" distL="114300" distR="114300" simplePos="0" relativeHeight="251665408" behindDoc="0" locked="0" layoutInCell="1" allowOverlap="1" wp14:anchorId="4D28604D" wp14:editId="21033E7E">
                <wp:simplePos x="0" y="0"/>
                <wp:positionH relativeFrom="column">
                  <wp:posOffset>532624</wp:posOffset>
                </wp:positionH>
                <wp:positionV relativeFrom="paragraph">
                  <wp:posOffset>589231</wp:posOffset>
                </wp:positionV>
                <wp:extent cx="4747847" cy="2667838"/>
                <wp:effectExtent l="19050" t="19050" r="15240" b="18415"/>
                <wp:wrapNone/>
                <wp:docPr id="25" name="Rectángulo 25"/>
                <wp:cNvGraphicFramePr/>
                <a:graphic xmlns:a="http://schemas.openxmlformats.org/drawingml/2006/main">
                  <a:graphicData uri="http://schemas.microsoft.com/office/word/2010/wordprocessingShape">
                    <wps:wsp>
                      <wps:cNvSpPr/>
                      <wps:spPr>
                        <a:xfrm>
                          <a:off x="0" y="0"/>
                          <a:ext cx="4747847" cy="266783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3E76F" id="Rectángulo 25" o:spid="_x0000_s1026" style="position:absolute;margin-left:41.95pt;margin-top:46.4pt;width:373.85pt;height:210.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" filled="f" strokecolor="red" strokeweight="2.25pt"/>
            </w:pict>
          </mc:Fallback>
        </mc:AlternateContent>
      </w:r>
      <w:r w:rsidRPr="00AE2201">
        <w:rPr>
          <w:noProof/>
        </w:rPr>
        <w:drawing>
          <wp:inline distT="0" distB="0" distL="0" distR="0" wp14:anchorId="14813D6B" wp14:editId="3D1DFCF3">
            <wp:extent cx="4662435" cy="2334577"/>
            <wp:effectExtent l="0" t="0" r="508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3709" t="12182" r="13514" b="23040"/>
                    <a:stretch/>
                  </pic:blipFill>
                  <pic:spPr bwMode="auto">
                    <a:xfrm>
                      <a:off x="0" y="0"/>
                      <a:ext cx="4696345" cy="2351556"/>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A46E1F" w:rsidP="00A46E1F">
      <w:pPr>
        <w:spacing w:before="240" w:after="240" w:line="360" w:lineRule="auto"/>
        <w:ind w:right="49"/>
        <w:jc w:val="center"/>
        <w:rPr>
          <w:rFonts w:ascii="Palatino Linotype" w:hAnsi="Palatino Linotype" w:cs="Arial"/>
        </w:rPr>
      </w:pPr>
      <w:r w:rsidRPr="00AE2201">
        <w:rPr>
          <w:noProof/>
        </w:rPr>
        <w:drawing>
          <wp:inline distT="0" distB="0" distL="0" distR="0" wp14:anchorId="427DD044" wp14:editId="6FABA04F">
            <wp:extent cx="4725719" cy="899327"/>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449" t="20971" r="13688" b="61137"/>
                    <a:stretch/>
                  </pic:blipFill>
                  <pic:spPr bwMode="auto">
                    <a:xfrm>
                      <a:off x="0" y="0"/>
                      <a:ext cx="4796923" cy="912878"/>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A46E1F" w:rsidP="00A46E1F">
      <w:pPr>
        <w:spacing w:before="240" w:after="240" w:line="360" w:lineRule="auto"/>
        <w:ind w:right="49"/>
        <w:jc w:val="both"/>
        <w:rPr>
          <w:rFonts w:ascii="Palatino Linotype" w:hAnsi="Palatino Linotype" w:cs="Arial"/>
        </w:rPr>
      </w:pPr>
      <w:r w:rsidRPr="00AE2201">
        <w:rPr>
          <w:rFonts w:ascii="Palatino Linotype" w:hAnsi="Palatino Linotype" w:cs="Arial"/>
        </w:rPr>
        <w:lastRenderedPageBreak/>
        <w:t xml:space="preserve">De lo anterior, se advierte que en dichos Acuerdos únicamente se refirió que la entrega de la información solicitada podría causar un daño a las actividades de verificación, fiscalización, inspección y recaudación de contribuciones, lo que en consecuencia se traduciría a su decir en la actualización de las hipótesis de reserva de la información; sin embargo, aun cuando manifestó haber realizado la prueba de daño correspondiente, lo cierto es que sólo argumento lo siguiente: </w:t>
      </w:r>
    </w:p>
    <w:p w:rsidR="00A46E1F" w:rsidRPr="00AE2201" w:rsidRDefault="00A46E1F" w:rsidP="00A46E1F">
      <w:pPr>
        <w:spacing w:before="240" w:after="240" w:line="360" w:lineRule="auto"/>
        <w:ind w:right="49"/>
        <w:jc w:val="center"/>
        <w:rPr>
          <w:rFonts w:ascii="Palatino Linotype" w:hAnsi="Palatino Linotype" w:cs="Arial"/>
        </w:rPr>
      </w:pPr>
      <w:r w:rsidRPr="00AE2201">
        <w:rPr>
          <w:noProof/>
        </w:rPr>
        <mc:AlternateContent>
          <mc:Choice Requires="wps">
            <w:drawing>
              <wp:anchor distT="0" distB="0" distL="114300" distR="114300" simplePos="0" relativeHeight="251669504" behindDoc="0" locked="0" layoutInCell="1" allowOverlap="1" wp14:anchorId="2631EE36" wp14:editId="648C5CAA">
                <wp:simplePos x="0" y="0"/>
                <wp:positionH relativeFrom="column">
                  <wp:posOffset>246247</wp:posOffset>
                </wp:positionH>
                <wp:positionV relativeFrom="paragraph">
                  <wp:posOffset>2959540</wp:posOffset>
                </wp:positionV>
                <wp:extent cx="5300506" cy="497393"/>
                <wp:effectExtent l="0" t="0" r="14605" b="17145"/>
                <wp:wrapNone/>
                <wp:docPr id="35" name="Rectángulo 35"/>
                <wp:cNvGraphicFramePr/>
                <a:graphic xmlns:a="http://schemas.openxmlformats.org/drawingml/2006/main">
                  <a:graphicData uri="http://schemas.microsoft.com/office/word/2010/wordprocessingShape">
                    <wps:wsp>
                      <wps:cNvSpPr/>
                      <wps:spPr>
                        <a:xfrm>
                          <a:off x="0" y="0"/>
                          <a:ext cx="5300506" cy="49739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7D3523" id="Rectángulo 35" o:spid="_x0000_s1026" style="position:absolute;margin-left:19.4pt;margin-top:233.05pt;width:417.35pt;height:39.1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" filled="f" strokecolor="red" strokeweight="1pt"/>
            </w:pict>
          </mc:Fallback>
        </mc:AlternateContent>
      </w:r>
      <w:r w:rsidRPr="00AE2201">
        <w:rPr>
          <w:noProof/>
        </w:rPr>
        <mc:AlternateContent>
          <mc:Choice Requires="wps">
            <w:drawing>
              <wp:anchor distT="0" distB="0" distL="114300" distR="114300" simplePos="0" relativeHeight="251668480" behindDoc="0" locked="0" layoutInCell="1" allowOverlap="1" wp14:anchorId="77CBD7CC" wp14:editId="6222987B">
                <wp:simplePos x="0" y="0"/>
                <wp:positionH relativeFrom="column">
                  <wp:posOffset>271368</wp:posOffset>
                </wp:positionH>
                <wp:positionV relativeFrom="paragraph">
                  <wp:posOffset>2035092</wp:posOffset>
                </wp:positionV>
                <wp:extent cx="5235192" cy="306426"/>
                <wp:effectExtent l="0" t="0" r="22860" b="17780"/>
                <wp:wrapNone/>
                <wp:docPr id="30" name="Rectángulo 30"/>
                <wp:cNvGraphicFramePr/>
                <a:graphic xmlns:a="http://schemas.openxmlformats.org/drawingml/2006/main">
                  <a:graphicData uri="http://schemas.microsoft.com/office/word/2010/wordprocessingShape">
                    <wps:wsp>
                      <wps:cNvSpPr/>
                      <wps:spPr>
                        <a:xfrm>
                          <a:off x="0" y="0"/>
                          <a:ext cx="5235192" cy="30642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AE06BC" id="Rectángulo 30" o:spid="_x0000_s1026" style="position:absolute;margin-left:21.35pt;margin-top:160.25pt;width:412.2pt;height:24.1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" filled="f" strokecolor="red" strokeweight="1.5pt"/>
            </w:pict>
          </mc:Fallback>
        </mc:AlternateContent>
      </w:r>
      <w:r w:rsidRPr="00AE2201">
        <w:rPr>
          <w:noProof/>
        </w:rPr>
        <mc:AlternateContent>
          <mc:Choice Requires="wps">
            <w:drawing>
              <wp:anchor distT="0" distB="0" distL="114300" distR="114300" simplePos="0" relativeHeight="251667456" behindDoc="0" locked="0" layoutInCell="1" allowOverlap="1" wp14:anchorId="64408BC3" wp14:editId="1B3E92F5">
                <wp:simplePos x="0" y="0"/>
                <wp:positionH relativeFrom="column">
                  <wp:posOffset>256296</wp:posOffset>
                </wp:positionH>
                <wp:positionV relativeFrom="paragraph">
                  <wp:posOffset>814217</wp:posOffset>
                </wp:positionV>
                <wp:extent cx="5285433" cy="396707"/>
                <wp:effectExtent l="0" t="0" r="10795" b="22860"/>
                <wp:wrapNone/>
                <wp:docPr id="29" name="Rectángulo 29"/>
                <wp:cNvGraphicFramePr/>
                <a:graphic xmlns:a="http://schemas.openxmlformats.org/drawingml/2006/main">
                  <a:graphicData uri="http://schemas.microsoft.com/office/word/2010/wordprocessingShape">
                    <wps:wsp>
                      <wps:cNvSpPr/>
                      <wps:spPr>
                        <a:xfrm>
                          <a:off x="0" y="0"/>
                          <a:ext cx="5285433" cy="3967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3E474E" id="Rectángulo 29" o:spid="_x0000_s1026" style="position:absolute;margin-left:20.2pt;margin-top:64.1pt;width:416.2pt;height:31.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" filled="f" strokecolor="red" strokeweight="1pt"/>
            </w:pict>
          </mc:Fallback>
        </mc:AlternateContent>
      </w:r>
      <w:r w:rsidRPr="00AE2201">
        <w:rPr>
          <w:noProof/>
        </w:rPr>
        <mc:AlternateContent>
          <mc:Choice Requires="wps">
            <w:drawing>
              <wp:anchor distT="0" distB="0" distL="114300" distR="114300" simplePos="0" relativeHeight="251666432" behindDoc="0" locked="0" layoutInCell="1" allowOverlap="1" wp14:anchorId="4A986FAF" wp14:editId="55016CA2">
                <wp:simplePos x="0" y="0"/>
                <wp:positionH relativeFrom="column">
                  <wp:posOffset>241223</wp:posOffset>
                </wp:positionH>
                <wp:positionV relativeFrom="paragraph">
                  <wp:posOffset>593153</wp:posOffset>
                </wp:positionV>
                <wp:extent cx="2311121" cy="211015"/>
                <wp:effectExtent l="0" t="0" r="13335" b="17780"/>
                <wp:wrapNone/>
                <wp:docPr id="28" name="Rectángulo 28"/>
                <wp:cNvGraphicFramePr/>
                <a:graphic xmlns:a="http://schemas.openxmlformats.org/drawingml/2006/main">
                  <a:graphicData uri="http://schemas.microsoft.com/office/word/2010/wordprocessingShape">
                    <wps:wsp>
                      <wps:cNvSpPr/>
                      <wps:spPr>
                        <a:xfrm>
                          <a:off x="0" y="0"/>
                          <a:ext cx="2311121" cy="21101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3D9727" id="Rectángulo 28" o:spid="_x0000_s1026" style="position:absolute;margin-left:19pt;margin-top:46.7pt;width:182pt;height:16.6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" filled="f" strokecolor="red" strokeweight="1.5pt"/>
            </w:pict>
          </mc:Fallback>
        </mc:AlternateContent>
      </w:r>
      <w:r w:rsidRPr="00AE2201">
        <w:rPr>
          <w:noProof/>
        </w:rPr>
        <w:drawing>
          <wp:inline distT="0" distB="0" distL="0" distR="0" wp14:anchorId="32B15772" wp14:editId="58748D06">
            <wp:extent cx="5429140" cy="4883499"/>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6372" t="14341" r="27047" b="11177"/>
                    <a:stretch/>
                  </pic:blipFill>
                  <pic:spPr bwMode="auto">
                    <a:xfrm>
                      <a:off x="0" y="0"/>
                      <a:ext cx="5446585" cy="4899190"/>
                    </a:xfrm>
                    <a:prstGeom prst="rect">
                      <a:avLst/>
                    </a:prstGeom>
                    <a:ln>
                      <a:noFill/>
                    </a:ln>
                    <a:extLst>
                      <a:ext uri="{53640926-AAD7-44D8-BBD7-CCE9431645EC}">
                        <a14:shadowObscured xmlns:a14="http://schemas.microsoft.com/office/drawing/2010/main"/>
                      </a:ext>
                    </a:extLst>
                  </pic:spPr>
                </pic:pic>
              </a:graphicData>
            </a:graphic>
          </wp:inline>
        </w:drawing>
      </w:r>
    </w:p>
    <w:p w:rsidR="00A46E1F" w:rsidRPr="00AE2201" w:rsidRDefault="00A46E1F" w:rsidP="00A46E1F">
      <w:pPr>
        <w:spacing w:before="240" w:after="240" w:line="360" w:lineRule="auto"/>
        <w:ind w:right="49"/>
        <w:jc w:val="both"/>
        <w:rPr>
          <w:rFonts w:ascii="Palatino Linotype" w:hAnsi="Palatino Linotype" w:cs="Arial"/>
        </w:rPr>
      </w:pPr>
      <w:r w:rsidRPr="00AE2201">
        <w:rPr>
          <w:rFonts w:ascii="Palatino Linotype" w:hAnsi="Palatino Linotype" w:cs="Arial"/>
        </w:rPr>
        <w:lastRenderedPageBreak/>
        <w:t xml:space="preserve">En ese tenor, a criterio de ésta Ponencia Resolutora, </w:t>
      </w:r>
      <w:r w:rsidRPr="00AE2201">
        <w:rPr>
          <w:rFonts w:ascii="Palatino Linotype" w:hAnsi="Palatino Linotype" w:cs="Arial"/>
          <w:b/>
        </w:rPr>
        <w:t xml:space="preserve">EL SUJETO OBLIGADO </w:t>
      </w:r>
      <w:r w:rsidRPr="00AE2201">
        <w:rPr>
          <w:rFonts w:ascii="Palatino Linotype" w:hAnsi="Palatino Linotype" w:cs="Arial"/>
        </w:rPr>
        <w:t>debió fundar y motivar adecuadamente la clasificación de la información; siendo conveniente referir que el máximo tribunal del país ha establecido jurisprudencia respecto a qué debe entenderse por fundamentación y motivación, en los siguientes términos:</w:t>
      </w:r>
    </w:p>
    <w:p w:rsidR="00A46E1F" w:rsidRPr="00AE2201" w:rsidRDefault="00A46E1F" w:rsidP="00A46E1F">
      <w:pPr>
        <w:pStyle w:val="Textoindependiente2"/>
        <w:spacing w:after="0" w:line="240" w:lineRule="auto"/>
        <w:ind w:left="567" w:right="902"/>
        <w:contextualSpacing/>
        <w:jc w:val="both"/>
        <w:rPr>
          <w:rFonts w:ascii="Palatino Linotype" w:hAnsi="Palatino Linotype" w:cs="Arial"/>
          <w:i/>
          <w:sz w:val="22"/>
          <w:szCs w:val="22"/>
        </w:rPr>
      </w:pPr>
      <w:r w:rsidRPr="00AE2201">
        <w:rPr>
          <w:rFonts w:ascii="Palatino Linotype" w:hAnsi="Palatino Linotype" w:cs="Arial"/>
          <w:i/>
          <w:sz w:val="22"/>
          <w:szCs w:val="22"/>
        </w:rPr>
        <w:t>“</w:t>
      </w:r>
      <w:r w:rsidRPr="00AE2201">
        <w:rPr>
          <w:rFonts w:ascii="Palatino Linotype" w:hAnsi="Palatino Linotype" w:cs="Arial"/>
          <w:b/>
          <w:i/>
          <w:sz w:val="22"/>
          <w:szCs w:val="22"/>
        </w:rPr>
        <w:t xml:space="preserve">FUNDAMENTACION Y MOTIVACION. </w:t>
      </w:r>
      <w:r w:rsidRPr="00AE2201">
        <w:rPr>
          <w:rFonts w:ascii="Palatino Linotype" w:hAnsi="Palatino Linotype" w:cs="Arial"/>
          <w:i/>
          <w:sz w:val="22"/>
          <w:szCs w:val="22"/>
        </w:rPr>
        <w:t>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rsidR="00A46E1F" w:rsidRPr="00AE2201" w:rsidRDefault="00A46E1F" w:rsidP="00A46E1F">
      <w:pPr>
        <w:pStyle w:val="Textoindependiente2"/>
        <w:spacing w:after="0" w:line="240" w:lineRule="auto"/>
        <w:ind w:left="567" w:right="902"/>
        <w:contextualSpacing/>
        <w:jc w:val="both"/>
        <w:rPr>
          <w:rFonts w:ascii="Palatino Linotype" w:hAnsi="Palatino Linotype" w:cs="Arial"/>
          <w:i/>
          <w:sz w:val="22"/>
          <w:szCs w:val="22"/>
        </w:rPr>
      </w:pPr>
      <w:r w:rsidRPr="00AE2201">
        <w:rPr>
          <w:rFonts w:ascii="Palatino Linotype" w:hAnsi="Palatino Linotype" w:cs="Arial"/>
          <w:b/>
          <w:i/>
          <w:sz w:val="22"/>
          <w:szCs w:val="22"/>
        </w:rPr>
        <w:t xml:space="preserve">…” </w:t>
      </w:r>
      <w:r w:rsidRPr="00AE2201">
        <w:rPr>
          <w:rFonts w:ascii="Palatino Linotype" w:hAnsi="Palatino Linotype" w:cs="Arial"/>
          <w:i/>
          <w:sz w:val="22"/>
          <w:szCs w:val="22"/>
        </w:rPr>
        <w:t>(Sic)</w:t>
      </w:r>
    </w:p>
    <w:p w:rsidR="00A46E1F" w:rsidRPr="00AE2201" w:rsidRDefault="00A46E1F" w:rsidP="00A46E1F">
      <w:pPr>
        <w:spacing w:before="240" w:after="240" w:line="360" w:lineRule="auto"/>
        <w:ind w:right="51"/>
        <w:jc w:val="both"/>
        <w:rPr>
          <w:rFonts w:ascii="Palatino Linotype" w:hAnsi="Palatino Linotype" w:cs="Arial"/>
        </w:rPr>
      </w:pPr>
      <w:r w:rsidRPr="00AE2201">
        <w:rPr>
          <w:rFonts w:ascii="Palatino Linotype" w:hAnsi="Palatino Linotype" w:cs="Arial"/>
        </w:rPr>
        <w:t xml:space="preserve">Así, en un acto de autoridad se surte la debida fundamentación </w:t>
      </w:r>
      <w:r w:rsidRPr="00AE2201">
        <w:rPr>
          <w:rFonts w:ascii="Palatino Linotype" w:hAnsi="Palatino Linotype" w:cs="Arial"/>
          <w:b/>
        </w:rPr>
        <w:t xml:space="preserve">cuando se cita el precepto legal aplicable al caso concreto y la debida motivación cuando se expresan las razones, motivos o circunstancias que tomó en cuenta la autoridad para adecuar el hecho a los fundamentos de derecho, </w:t>
      </w:r>
      <w:r w:rsidRPr="00AE2201">
        <w:rPr>
          <w:rFonts w:ascii="Palatino Linotype" w:hAnsi="Palatino Linotype" w:cs="Arial"/>
        </w:rPr>
        <w:t>sirviendo de sustento la jurisprudencia dictada por el Poder Judicial de la Federación que sostiene que la finalidad de la fundamentación o motivación es la de explicar, justificar, posibilitar la defensa y comunicar la decisión de la autoridad, tal como se lee a continuación:</w:t>
      </w:r>
    </w:p>
    <w:p w:rsidR="00A46E1F" w:rsidRPr="00AE2201" w:rsidRDefault="00A46E1F" w:rsidP="00A46E1F">
      <w:pPr>
        <w:pStyle w:val="Textoindependiente2"/>
        <w:spacing w:after="0" w:line="240" w:lineRule="auto"/>
        <w:ind w:left="567" w:right="902"/>
        <w:contextualSpacing/>
        <w:jc w:val="both"/>
        <w:rPr>
          <w:rFonts w:ascii="Palatino Linotype" w:hAnsi="Palatino Linotype" w:cs="Arial"/>
          <w:i/>
          <w:sz w:val="22"/>
          <w:szCs w:val="22"/>
        </w:rPr>
      </w:pPr>
      <w:r w:rsidRPr="00AE2201">
        <w:rPr>
          <w:rFonts w:ascii="Palatino Linotype" w:hAnsi="Palatino Linotype" w:cs="Arial"/>
          <w:b/>
          <w:i/>
          <w:sz w:val="22"/>
          <w:szCs w:val="22"/>
        </w:rPr>
        <w:t>“FUNDAMENTACIÓN Y MOTIVACIÓN. EL ASPECTO FORMAL DE LA GARANTÍA Y SU FINALIDAD SE TRADUCEN EN EXPLICAR, JUSTIFICAR, POSIBILITAR LA DEFENSA Y COMUNICAR LA DECISIÓN.</w:t>
      </w:r>
      <w:r w:rsidRPr="00AE2201">
        <w:rPr>
          <w:rFonts w:ascii="Palatino Linotype" w:hAnsi="Palatino Linotype" w:cs="Arial"/>
          <w:i/>
          <w:sz w:val="22"/>
          <w:szCs w:val="22"/>
        </w:rPr>
        <w:t xml:space="preserve">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w:t>
      </w:r>
      <w:r w:rsidRPr="00AE2201">
        <w:rPr>
          <w:rFonts w:ascii="Palatino Linotype" w:hAnsi="Palatino Linotype" w:cs="Arial"/>
          <w:i/>
          <w:sz w:val="22"/>
          <w:szCs w:val="22"/>
        </w:rPr>
        <w:lastRenderedPageBreak/>
        <w:t>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r w:rsidRPr="00AE2201">
        <w:t xml:space="preserve"> </w:t>
      </w:r>
      <w:r w:rsidRPr="00AE2201">
        <w:rPr>
          <w:rFonts w:ascii="Palatino Linotype" w:hAnsi="Palatino Linotype" w:cs="Arial"/>
          <w:i/>
          <w:sz w:val="22"/>
          <w:szCs w:val="22"/>
        </w:rPr>
        <w:t>(Sic)</w:t>
      </w:r>
    </w:p>
    <w:p w:rsidR="00A46E1F" w:rsidRPr="00AE2201" w:rsidRDefault="00A46E1F" w:rsidP="00A46E1F">
      <w:pPr>
        <w:spacing w:before="240" w:after="240" w:line="360" w:lineRule="auto"/>
        <w:ind w:right="49"/>
        <w:jc w:val="both"/>
        <w:rPr>
          <w:rFonts w:ascii="Palatino Linotype" w:hAnsi="Palatino Linotype" w:cs="Arial"/>
        </w:rPr>
      </w:pPr>
      <w:r w:rsidRPr="00AE2201">
        <w:rPr>
          <w:rFonts w:ascii="Palatino Linotype" w:hAnsi="Palatino Linotype" w:cs="Arial"/>
        </w:rPr>
        <w:t xml:space="preserve">En consecuencia, la fundamentación y motivación implica que en el acto de autoridad, además de contenerse los supuestos jurídicos aplicables </w:t>
      </w:r>
      <w:r w:rsidRPr="00AE2201">
        <w:rPr>
          <w:rFonts w:ascii="Palatino Linotype" w:hAnsi="Palatino Linotype" w:cs="Arial"/>
          <w:b/>
        </w:rPr>
        <w:t>se expliquen claramente</w:t>
      </w:r>
      <w:r w:rsidRPr="00AE2201">
        <w:rPr>
          <w:rFonts w:ascii="Palatino Linotype" w:hAnsi="Palatino Linotype" w:cs="Arial"/>
        </w:rPr>
        <w:t xml:space="preserve"> </w:t>
      </w:r>
      <w:r w:rsidRPr="00AE2201">
        <w:rPr>
          <w:rFonts w:ascii="Palatino Linotype" w:hAnsi="Palatino Linotype" w:cs="Arial"/>
          <w:b/>
        </w:rPr>
        <w:t>por qué, a través de la utilización de la norma se emitió el acto</w:t>
      </w:r>
      <w:r w:rsidRPr="00AE2201">
        <w:rPr>
          <w:rFonts w:ascii="Palatino Linotype" w:hAnsi="Palatino Linotype" w:cs="Arial"/>
        </w:rPr>
        <w:t>. De este modo, la persona que se siente afectada pueda impugnar la decisión, permitiéndole una real y auténtica defensa.</w:t>
      </w:r>
    </w:p>
    <w:p w:rsidR="00A46E1F" w:rsidRPr="00AE2201" w:rsidRDefault="00A46E1F" w:rsidP="00A46E1F">
      <w:pPr>
        <w:spacing w:before="240" w:after="240" w:line="360" w:lineRule="auto"/>
        <w:jc w:val="both"/>
        <w:rPr>
          <w:rFonts w:ascii="Palatino Linotype" w:hAnsi="Palatino Linotype" w:cs="Arial"/>
        </w:rPr>
      </w:pPr>
      <w:r w:rsidRPr="00AE2201">
        <w:rPr>
          <w:rFonts w:ascii="Palatino Linotype" w:hAnsi="Palatino Linotype" w:cs="Arial"/>
        </w:rPr>
        <w:t xml:space="preserve">Una vez establecido lo anterior, conviene traer a contexto que </w:t>
      </w:r>
      <w:r w:rsidRPr="00AE2201">
        <w:rPr>
          <w:rFonts w:ascii="Palatino Linotype" w:hAnsi="Palatino Linotype" w:cs="Arial"/>
          <w:b/>
        </w:rPr>
        <w:t xml:space="preserve">EL SUJETO OBLIGADO </w:t>
      </w:r>
      <w:r w:rsidRPr="00AE2201">
        <w:rPr>
          <w:rFonts w:ascii="Palatino Linotype" w:hAnsi="Palatino Linotype" w:cs="Arial"/>
        </w:rPr>
        <w:t>desde la respuesta se pronunció y manifestó que la información requerida por el particular de conformidad con lo establecido en las fracciones V y X del artículo 140 de la Ley de la materia, se consideraba como reservada por un periodo de 5 años, pues de acuerdo a lo señalado en la Ley de Seguridad Social para los Servidores Públicos del Estado de México y Municipios, en sus numerales 10, 35 y 36</w:t>
      </w:r>
      <w:r w:rsidRPr="00AE2201">
        <w:rPr>
          <w:rStyle w:val="Refdenotaalpie"/>
          <w:rFonts w:ascii="Palatino Linotype" w:hAnsi="Palatino Linotype" w:cs="Arial"/>
        </w:rPr>
        <w:footnoteReference w:id="2"/>
      </w:r>
      <w:r w:rsidRPr="00AE2201">
        <w:rPr>
          <w:rFonts w:ascii="Palatino Linotype" w:hAnsi="Palatino Linotype" w:cs="Arial"/>
        </w:rPr>
        <w:t xml:space="preserve">, los </w:t>
      </w:r>
      <w:r w:rsidRPr="00AE2201">
        <w:rPr>
          <w:rFonts w:ascii="Palatino Linotype" w:hAnsi="Palatino Linotype" w:cs="Arial"/>
        </w:rPr>
        <w:lastRenderedPageBreak/>
        <w:t xml:space="preserve">requerimientos de comprobantes de pago constituyen instrumentos jurídicos o mecanismos para la recaudación de contribuciones </w:t>
      </w:r>
      <w:r w:rsidRPr="00AE2201">
        <w:rPr>
          <w:rFonts w:ascii="Palatino Linotype" w:hAnsi="Palatino Linotype" w:cs="Arial"/>
          <w:b/>
        </w:rPr>
        <w:t>omitidas</w:t>
      </w:r>
      <w:r w:rsidRPr="00AE2201">
        <w:rPr>
          <w:rFonts w:ascii="Palatino Linotype" w:hAnsi="Palatino Linotype" w:cs="Arial"/>
        </w:rPr>
        <w:t xml:space="preserve"> a las que se encuentran obligadas las Instituciones públicas, tal como la UAEM</w:t>
      </w:r>
      <w:r w:rsidRPr="00AE2201">
        <w:rPr>
          <w:rStyle w:val="Refdenotaalpie"/>
          <w:rFonts w:ascii="Palatino Linotype" w:hAnsi="Palatino Linotype" w:cs="Arial"/>
        </w:rPr>
        <w:footnoteReference w:id="3"/>
      </w:r>
      <w:r w:rsidRPr="00AE2201">
        <w:rPr>
          <w:rFonts w:ascii="Palatino Linotype" w:hAnsi="Palatino Linotype" w:cs="Arial"/>
        </w:rPr>
        <w:t xml:space="preserve">, ya que a su decir, los procedimientos de cobro no han causado ejecutoria y se encuentran en la etapa procesal de recuperación conformando los  expedientes CF/SI/COF/RCP/001/2015 y otros, manifestando que su divulgación entorpecería la recaudación de dichas contribuciones, hecho que es una de las principales atribuciones del </w:t>
      </w:r>
      <w:r w:rsidRPr="00AE2201">
        <w:rPr>
          <w:rFonts w:ascii="Palatino Linotype" w:hAnsi="Palatino Linotype" w:cs="Arial"/>
          <w:b/>
        </w:rPr>
        <w:t xml:space="preserve">SUJETO OBLIGADO, </w:t>
      </w:r>
      <w:r w:rsidRPr="00AE2201">
        <w:rPr>
          <w:rFonts w:ascii="Palatino Linotype" w:hAnsi="Palatino Linotype" w:cs="Arial"/>
        </w:rPr>
        <w:t>actualizando así las causales de reserva de la información antes referidas.</w:t>
      </w:r>
    </w:p>
    <w:p w:rsidR="00A46E1F" w:rsidRPr="00AE2201" w:rsidRDefault="00A46E1F" w:rsidP="00A46E1F">
      <w:pPr>
        <w:spacing w:line="360" w:lineRule="auto"/>
        <w:jc w:val="both"/>
        <w:rPr>
          <w:rFonts w:ascii="Palatino Linotype" w:hAnsi="Palatino Linotype" w:cs="Arial"/>
        </w:rPr>
      </w:pPr>
      <w:r w:rsidRPr="00AE2201">
        <w:rPr>
          <w:rFonts w:ascii="Palatino Linotype" w:hAnsi="Palatino Linotype" w:cs="Arial"/>
        </w:rPr>
        <w:t xml:space="preserve">Bajo ese orden de ideas, a criterio del </w:t>
      </w:r>
      <w:r w:rsidRPr="00AE2201">
        <w:rPr>
          <w:rFonts w:ascii="Palatino Linotype" w:hAnsi="Palatino Linotype" w:cs="Arial"/>
          <w:b/>
        </w:rPr>
        <w:t xml:space="preserve">SUJETO OBLIGADO </w:t>
      </w:r>
      <w:r w:rsidRPr="00AE2201">
        <w:rPr>
          <w:rFonts w:ascii="Palatino Linotype" w:hAnsi="Palatino Linotype" w:cs="Arial"/>
        </w:rPr>
        <w:t xml:space="preserve">con la difusión de la información se verían afectadas las funciones del Instituto de Seguridad Social y se impediría que cumpla a cabalidad con la obligación que tiene de recaudar las contribuciones de las Instituciones; por lo que, considera que es mayor el interés general de los derechohabientes que el interés particular del </w:t>
      </w:r>
      <w:r w:rsidRPr="00AE2201">
        <w:rPr>
          <w:rFonts w:ascii="Palatino Linotype" w:hAnsi="Palatino Linotype" w:cs="Arial"/>
          <w:b/>
        </w:rPr>
        <w:t>RECURRENTE</w:t>
      </w:r>
      <w:r w:rsidRPr="00AE2201">
        <w:rPr>
          <w:rFonts w:ascii="Palatino Linotype" w:hAnsi="Palatino Linotype" w:cs="Arial"/>
        </w:rPr>
        <w:t xml:space="preserve"> de conocer los requerimientos de pago que </w:t>
      </w:r>
      <w:r w:rsidRPr="00AE2201">
        <w:rPr>
          <w:rFonts w:ascii="Palatino Linotype" w:hAnsi="Palatino Linotype" w:cs="Arial"/>
          <w:b/>
        </w:rPr>
        <w:t xml:space="preserve">EL SUJETO OBLIGADO </w:t>
      </w:r>
      <w:r w:rsidRPr="00AE2201">
        <w:rPr>
          <w:rFonts w:ascii="Palatino Linotype" w:hAnsi="Palatino Linotype" w:cs="Arial"/>
        </w:rPr>
        <w:t>ha realizado a la UAEM, durante los años del 2015 al 2018.</w:t>
      </w:r>
    </w:p>
    <w:p w:rsidR="00A46E1F" w:rsidRPr="00AE2201" w:rsidRDefault="00A46E1F" w:rsidP="00A46E1F">
      <w:pPr>
        <w:spacing w:before="100" w:beforeAutospacing="1" w:after="100" w:afterAutospacing="1" w:line="360" w:lineRule="auto"/>
        <w:jc w:val="both"/>
        <w:rPr>
          <w:rFonts w:ascii="Palatino Linotype" w:hAnsi="Palatino Linotype" w:cs="Arial"/>
        </w:rPr>
      </w:pPr>
      <w:r w:rsidRPr="00AE2201">
        <w:rPr>
          <w:rFonts w:ascii="Palatino Linotype" w:hAnsi="Palatino Linotype" w:cs="Arial"/>
        </w:rPr>
        <w:lastRenderedPageBreak/>
        <w:t xml:space="preserve">Por lo tanto, si bien es cierto que los Acuerdos de clasificación de la información como reservada remitidos por </w:t>
      </w:r>
      <w:r w:rsidRPr="00AE2201">
        <w:rPr>
          <w:rFonts w:ascii="Palatino Linotype" w:hAnsi="Palatino Linotype" w:cs="Arial"/>
          <w:b/>
        </w:rPr>
        <w:t xml:space="preserve">EL SUEJTO OBLIGADO, </w:t>
      </w:r>
      <w:r w:rsidRPr="00AE2201">
        <w:rPr>
          <w:rFonts w:ascii="Palatino Linotype" w:hAnsi="Palatino Linotype" w:cs="Arial"/>
        </w:rPr>
        <w:t xml:space="preserve">exponen que de los requerimientos de pago solicitados por el particular ahora existen procedimientos de cumplimiento de obligaciones fiscales, también lo es que, en ningún punto del Acuerdo se aprecia la conexión que existe entre dichos procedimientos y la información solicitada, pues basa la prueba de daño en la afectación de las actividades de fiscalización, verificación, inspección y comprobación de la recaudación de contribuciones que éste realiza; sin embargo, no se advierte de los Acuerdos de Clasificación la posible afectación que se generaría con dar a conocer el contenido propiamente de los requerimientos de pago solicitados, pues el particular no requirió al </w:t>
      </w:r>
      <w:r w:rsidRPr="00AE2201">
        <w:rPr>
          <w:rFonts w:ascii="Palatino Linotype" w:hAnsi="Palatino Linotype" w:cs="Arial"/>
          <w:b/>
        </w:rPr>
        <w:t xml:space="preserve">SUJETO OBLIGADO </w:t>
      </w:r>
      <w:r w:rsidRPr="00AE2201">
        <w:rPr>
          <w:rFonts w:ascii="Palatino Linotype" w:hAnsi="Palatino Linotype" w:cs="Arial"/>
        </w:rPr>
        <w:t>el contenido de los expedientes formados con motivo de los procedimientos de cumplimiento de obligaciones fiscales.</w:t>
      </w:r>
    </w:p>
    <w:p w:rsidR="00A46E1F" w:rsidRPr="00AE2201" w:rsidRDefault="00A46E1F" w:rsidP="00A46E1F">
      <w:pPr>
        <w:spacing w:before="100" w:beforeAutospacing="1" w:after="100" w:afterAutospacing="1" w:line="360" w:lineRule="auto"/>
        <w:jc w:val="both"/>
        <w:rPr>
          <w:rFonts w:ascii="Palatino Linotype" w:hAnsi="Palatino Linotype" w:cs="Arial"/>
        </w:rPr>
      </w:pPr>
      <w:r w:rsidRPr="00AE2201">
        <w:rPr>
          <w:rFonts w:ascii="Palatino Linotype" w:hAnsi="Palatino Linotype" w:cs="Arial"/>
        </w:rPr>
        <w:t xml:space="preserve">Motivo por el que, esta Ponencia Resolutora no advierte que al darse a conocer los requerimientos de pago solicitados se vulneren los procedimiento iniciados en contra de la Institución Pública referida, ya que, se insiste el particular solicitó únicamente los requerimientos de pago que </w:t>
      </w:r>
      <w:r w:rsidRPr="00AE2201">
        <w:rPr>
          <w:rFonts w:ascii="Palatino Linotype" w:hAnsi="Palatino Linotype" w:cs="Arial"/>
          <w:b/>
        </w:rPr>
        <w:t xml:space="preserve">EL SUJETO OBLIGADO </w:t>
      </w:r>
      <w:r w:rsidRPr="00AE2201">
        <w:rPr>
          <w:rFonts w:ascii="Palatino Linotype" w:hAnsi="Palatino Linotype" w:cs="Arial"/>
        </w:rPr>
        <w:t>entregó a la UAEM, más no el expediente formado con motivo de los procedimientos de cumplimiento de obligaciones fiscales, aunado a que, no justificó el periodo de reserva de la información por 5 años, pues se reitera que el particular no solicito acceso a los expedientes de los procedimientos de cumplimiento multicitados.</w:t>
      </w:r>
    </w:p>
    <w:p w:rsidR="00A46E1F" w:rsidRPr="00AE2201" w:rsidRDefault="00A46E1F" w:rsidP="00A46E1F">
      <w:pPr>
        <w:spacing w:before="100" w:beforeAutospacing="1" w:after="100" w:afterAutospacing="1" w:line="360" w:lineRule="auto"/>
        <w:jc w:val="both"/>
        <w:rPr>
          <w:rFonts w:ascii="Palatino Linotype" w:hAnsi="Palatino Linotype" w:cs="Arial"/>
        </w:rPr>
      </w:pPr>
      <w:r w:rsidRPr="00AE2201">
        <w:rPr>
          <w:rFonts w:ascii="Palatino Linotype" w:hAnsi="Palatino Linotype" w:cs="Arial"/>
        </w:rPr>
        <w:lastRenderedPageBreak/>
        <w:t>De lo expuesto y en cumplimiento a los principios que rigen el actuar de este Órgano Garante, establecidos en los artículos 4, 8 y 9 fracciones I, VII y VIII de la Ley de Transparencia y Acceso a la Información Pública del Estado de México y Municipios, mediante los cuales debe darse certeza jurídica a los particulares, privilegiarse la máxima publicidad, la objetividad y el principio pro persona, sirviendo de sustento la transcripción de los preceptos legales que a la letra rezan:</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
          <w:bCs/>
          <w:i/>
          <w:sz w:val="22"/>
        </w:rPr>
        <w:t>“Artículo 4.</w:t>
      </w:r>
      <w:r w:rsidRPr="00AE2201">
        <w:rPr>
          <w:rFonts w:ascii="Palatino Linotype" w:hAnsi="Palatino Linotype" w:cs="Arial"/>
          <w:bCs/>
          <w:i/>
          <w:sz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
          <w:bCs/>
          <w:i/>
          <w:sz w:val="22"/>
        </w:rPr>
        <w:t xml:space="preserve">Toda la información </w:t>
      </w:r>
      <w:r w:rsidRPr="00AE2201">
        <w:rPr>
          <w:rFonts w:ascii="Palatino Linotype" w:hAnsi="Palatino Linotype" w:cs="Arial"/>
          <w:bCs/>
          <w:i/>
          <w:sz w:val="22"/>
        </w:rPr>
        <w:t>generada,</w:t>
      </w:r>
      <w:r w:rsidRPr="00AE2201">
        <w:rPr>
          <w:rFonts w:ascii="Palatino Linotype" w:hAnsi="Palatino Linotype" w:cs="Arial"/>
          <w:b/>
          <w:bCs/>
          <w:i/>
          <w:sz w:val="22"/>
        </w:rPr>
        <w:t xml:space="preserve"> obtenida, adquirida, transformada, administrada o en posesión de los sujetos obligados es pública y accesible de manera permanente a cualquier persona</w:t>
      </w:r>
      <w:r w:rsidRPr="00AE2201">
        <w:rPr>
          <w:rFonts w:ascii="Palatino Linotype" w:hAnsi="Palatino Linotype" w:cs="Arial"/>
          <w:bCs/>
          <w:i/>
          <w:sz w:val="22"/>
        </w:rPr>
        <w:t xml:space="preserve">, en los términos y condiciones que se establezcan en los tratados internacionales de los que el Estado mexicano sea parte, en la Ley General, la presente Ley y demás disposiciones de la materia, </w:t>
      </w:r>
      <w:r w:rsidRPr="00AE2201">
        <w:rPr>
          <w:rFonts w:ascii="Palatino Linotype" w:hAnsi="Palatino Linotype" w:cs="Arial"/>
          <w:b/>
          <w:bCs/>
          <w:i/>
          <w:sz w:val="22"/>
        </w:rPr>
        <w:t>privilegiando el principio de máxima publicidad</w:t>
      </w:r>
      <w:r w:rsidRPr="00AE2201">
        <w:rPr>
          <w:rFonts w:ascii="Palatino Linotype" w:hAnsi="Palatino Linotype" w:cs="Arial"/>
          <w:bCs/>
          <w:i/>
          <w:sz w:val="22"/>
        </w:rPr>
        <w:t xml:space="preserve"> de la </w:t>
      </w:r>
      <w:r w:rsidRPr="00AE2201">
        <w:rPr>
          <w:rFonts w:ascii="Palatino Linotype" w:hAnsi="Palatino Linotype" w:cs="Arial"/>
          <w:i/>
          <w:color w:val="000000"/>
          <w:sz w:val="22"/>
        </w:rPr>
        <w:t>información</w:t>
      </w:r>
      <w:r w:rsidRPr="00AE2201">
        <w:rPr>
          <w:rFonts w:ascii="Palatino Linotype" w:hAnsi="Palatino Linotype" w:cs="Arial"/>
          <w:bCs/>
          <w:i/>
          <w:sz w:val="22"/>
        </w:rPr>
        <w:t xml:space="preserve">. Solo podrá ser clasificada excepcionalmente como reservada temporalmente por razones de interés público, en los términos de las causas legítimas y estrictamente necesarias previstas por esta Ley. </w:t>
      </w:r>
    </w:p>
    <w:p w:rsidR="00A46E1F" w:rsidRPr="00AE2201" w:rsidRDefault="00A46E1F" w:rsidP="00A46E1F">
      <w:pPr>
        <w:ind w:left="851" w:right="902"/>
        <w:jc w:val="both"/>
        <w:rPr>
          <w:rFonts w:ascii="Palatino Linotype" w:hAnsi="Palatino Linotype" w:cs="Arial"/>
          <w:bCs/>
          <w:i/>
          <w:sz w:val="22"/>
        </w:rPr>
      </w:pP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Cs/>
          <w:i/>
          <w:sz w:val="22"/>
        </w:rPr>
        <w:t xml:space="preserve">Los sujetos obligados deben poner en práctica, políticas y programas de acceso a la información que se apeguen a criterios de publicidad, veracidad, oportunidad, precisión y suficiencia en beneficio de los solicitantes. </w:t>
      </w:r>
    </w:p>
    <w:p w:rsidR="00A46E1F" w:rsidRPr="00AE2201" w:rsidRDefault="00A46E1F" w:rsidP="00A46E1F">
      <w:pPr>
        <w:ind w:left="851" w:right="902"/>
        <w:jc w:val="both"/>
        <w:rPr>
          <w:rFonts w:ascii="Palatino Linotype" w:hAnsi="Palatino Linotype" w:cs="Arial"/>
          <w:bCs/>
          <w:i/>
          <w:sz w:val="22"/>
        </w:rPr>
      </w:pPr>
    </w:p>
    <w:p w:rsidR="00A46E1F" w:rsidRPr="00AE2201" w:rsidRDefault="00A46E1F" w:rsidP="00A46E1F">
      <w:pPr>
        <w:framePr w:hSpace="141" w:wrap="around" w:vAnchor="text" w:hAnchor="text" w:y="1"/>
        <w:ind w:left="851" w:right="902"/>
        <w:jc w:val="both"/>
        <w:rPr>
          <w:rFonts w:ascii="Palatino Linotype" w:hAnsi="Palatino Linotype" w:cs="Arial"/>
          <w:bCs/>
          <w:i/>
          <w:sz w:val="22"/>
        </w:rPr>
      </w:pPr>
      <w:r w:rsidRPr="00AE2201">
        <w:rPr>
          <w:rFonts w:ascii="Palatino Linotype" w:hAnsi="Palatino Linotype" w:cs="Arial"/>
          <w:b/>
          <w:bCs/>
          <w:i/>
          <w:sz w:val="22"/>
        </w:rPr>
        <w:t>Artículo 8</w:t>
      </w:r>
      <w:r w:rsidRPr="00AE2201">
        <w:rPr>
          <w:rFonts w:ascii="Palatino Linotype" w:hAnsi="Palatino Linotype" w:cs="Arial"/>
          <w:bCs/>
          <w:i/>
          <w:sz w:val="22"/>
        </w:rPr>
        <w:t xml:space="preserve">. </w:t>
      </w:r>
      <w:r w:rsidRPr="00AE2201">
        <w:rPr>
          <w:rFonts w:ascii="Palatino Linotype" w:hAnsi="Palatino Linotype" w:cs="Arial"/>
          <w:b/>
          <w:bCs/>
          <w:i/>
          <w:sz w:val="22"/>
        </w:rPr>
        <w:t>El derecho de acceso a la información o la clasificación de la información</w:t>
      </w:r>
      <w:r w:rsidRPr="00AE2201">
        <w:rPr>
          <w:rFonts w:ascii="Palatino Linotype" w:hAnsi="Palatino Linotype" w:cs="Arial"/>
          <w:bCs/>
          <w:i/>
          <w:sz w:val="22"/>
        </w:rPr>
        <w:t xml:space="preserve"> </w:t>
      </w:r>
      <w:r w:rsidRPr="00AE2201">
        <w:rPr>
          <w:rFonts w:ascii="Palatino Linotype" w:hAnsi="Palatino Linotype" w:cs="Arial"/>
          <w:b/>
          <w:bCs/>
          <w:i/>
          <w:sz w:val="22"/>
        </w:rPr>
        <w:t>se interpretarán conforme a los principios establecidos en la Constitución Federal</w:t>
      </w:r>
      <w:r w:rsidRPr="00AE2201">
        <w:rPr>
          <w:rFonts w:ascii="Palatino Linotype" w:hAnsi="Palatino Linotype" w:cs="Arial"/>
          <w:bCs/>
          <w:i/>
          <w:sz w:val="22"/>
        </w:rPr>
        <w:t xml:space="preserve">, los tratados internacionales de los que el Estado mexicano sea parte, </w:t>
      </w:r>
      <w:r w:rsidRPr="00AE2201">
        <w:rPr>
          <w:rFonts w:ascii="Palatino Linotype" w:hAnsi="Palatino Linotype" w:cs="Arial"/>
          <w:b/>
          <w:bCs/>
          <w:i/>
          <w:sz w:val="22"/>
        </w:rPr>
        <w:t>la Ley General, la Constitución Local y la presente Ley</w:t>
      </w:r>
      <w:r w:rsidRPr="00AE2201">
        <w:rPr>
          <w:rFonts w:ascii="Palatino Linotype" w:hAnsi="Palatino Linotype" w:cs="Arial"/>
          <w:bCs/>
          <w:i/>
          <w:sz w:val="22"/>
        </w:rPr>
        <w:t>.</w:t>
      </w:r>
    </w:p>
    <w:p w:rsidR="00A46E1F" w:rsidRPr="00AE2201" w:rsidRDefault="00A46E1F" w:rsidP="00A46E1F">
      <w:pPr>
        <w:ind w:left="851" w:right="902"/>
        <w:jc w:val="both"/>
        <w:rPr>
          <w:rFonts w:ascii="Palatino Linotype" w:hAnsi="Palatino Linotype" w:cs="Arial"/>
          <w:b/>
          <w:bCs/>
          <w:i/>
          <w:sz w:val="22"/>
        </w:rPr>
      </w:pPr>
    </w:p>
    <w:p w:rsidR="00A46E1F" w:rsidRPr="00AE2201" w:rsidRDefault="00A46E1F" w:rsidP="00A46E1F">
      <w:pPr>
        <w:ind w:left="851" w:right="902"/>
        <w:jc w:val="both"/>
        <w:rPr>
          <w:rFonts w:ascii="Palatino Linotype" w:hAnsi="Palatino Linotype" w:cs="Arial"/>
          <w:b/>
          <w:bCs/>
          <w:i/>
          <w:sz w:val="22"/>
        </w:rPr>
      </w:pPr>
      <w:r w:rsidRPr="00AE2201">
        <w:rPr>
          <w:rFonts w:ascii="Palatino Linotype" w:hAnsi="Palatino Linotype" w:cs="Arial"/>
          <w:b/>
          <w:bCs/>
          <w:i/>
          <w:sz w:val="22"/>
        </w:rPr>
        <w:t>En la aplicación e interpretación de la presente Ley deberá prevalecer el principio de máxima publicidad</w:t>
      </w:r>
      <w:r w:rsidRPr="00AE2201">
        <w:rPr>
          <w:rFonts w:ascii="Palatino Linotype" w:hAnsi="Palatino Linotype" w:cs="Arial"/>
          <w:bCs/>
          <w:i/>
          <w:sz w:val="22"/>
        </w:rPr>
        <w:t xml:space="preserve">, conforme a lo dispuesto en la Constitución Federal, en los tratados internacionales de los que el Estado mexicano sea parte, la Ley General, la Constitución Local, así como en las resoluciones y sentencias </w:t>
      </w:r>
      <w:r w:rsidRPr="00AE2201">
        <w:rPr>
          <w:rFonts w:ascii="Palatino Linotype" w:hAnsi="Palatino Linotype" w:cs="Arial"/>
          <w:bCs/>
          <w:i/>
          <w:sz w:val="22"/>
        </w:rPr>
        <w:lastRenderedPageBreak/>
        <w:t xml:space="preserve">vinculantes que emitan los órganos nacionales e internacionales especializados, </w:t>
      </w:r>
      <w:r w:rsidRPr="00AE2201">
        <w:rPr>
          <w:rFonts w:ascii="Palatino Linotype" w:hAnsi="Palatino Linotype" w:cs="Arial"/>
          <w:b/>
          <w:bCs/>
          <w:i/>
          <w:sz w:val="22"/>
        </w:rPr>
        <w:t>favoreciendo en todo tiempo a las personas la protección más amplia, atendiendo al principio pro persona…</w:t>
      </w:r>
    </w:p>
    <w:p w:rsidR="00A46E1F" w:rsidRPr="00AE2201" w:rsidRDefault="00A46E1F" w:rsidP="00A46E1F">
      <w:pPr>
        <w:ind w:left="851" w:right="902"/>
        <w:jc w:val="both"/>
        <w:rPr>
          <w:rFonts w:ascii="Palatino Linotype" w:hAnsi="Palatino Linotype" w:cs="Arial"/>
          <w:bCs/>
          <w:i/>
          <w:sz w:val="22"/>
        </w:rPr>
      </w:pPr>
    </w:p>
    <w:p w:rsidR="00A46E1F" w:rsidRPr="00AE2201" w:rsidRDefault="00A46E1F" w:rsidP="00A46E1F">
      <w:pPr>
        <w:ind w:left="851" w:right="902"/>
        <w:jc w:val="both"/>
        <w:rPr>
          <w:rFonts w:ascii="Palatino Linotype" w:hAnsi="Palatino Linotype" w:cs="Arial"/>
          <w:b/>
          <w:bCs/>
          <w:i/>
          <w:sz w:val="22"/>
        </w:rPr>
      </w:pPr>
      <w:r w:rsidRPr="00AE2201">
        <w:rPr>
          <w:rFonts w:ascii="Palatino Linotype" w:hAnsi="Palatino Linotype" w:cs="Arial"/>
          <w:b/>
          <w:bCs/>
          <w:i/>
          <w:sz w:val="22"/>
        </w:rPr>
        <w:t>Artículo 9. El Instituto deberá regir su funcionamiento de acuerdo a los siguientes principios:</w:t>
      </w:r>
    </w:p>
    <w:p w:rsidR="00A46E1F" w:rsidRPr="00AE2201" w:rsidRDefault="00A46E1F" w:rsidP="00A46E1F">
      <w:pPr>
        <w:ind w:left="851" w:right="902"/>
        <w:jc w:val="both"/>
        <w:rPr>
          <w:rFonts w:ascii="Palatino Linotype" w:hAnsi="Palatino Linotype" w:cs="Arial"/>
          <w:b/>
          <w:bCs/>
          <w:i/>
          <w:sz w:val="22"/>
        </w:rPr>
      </w:pPr>
    </w:p>
    <w:p w:rsidR="00A46E1F" w:rsidRPr="00AE2201" w:rsidRDefault="00A46E1F" w:rsidP="00A46E1F">
      <w:pPr>
        <w:ind w:left="851" w:right="902"/>
        <w:jc w:val="both"/>
        <w:rPr>
          <w:rFonts w:ascii="Palatino Linotype" w:hAnsi="Palatino Linotype" w:cs="Arial"/>
          <w:b/>
          <w:bCs/>
          <w:i/>
          <w:sz w:val="22"/>
        </w:rPr>
      </w:pPr>
      <w:r w:rsidRPr="00AE2201">
        <w:rPr>
          <w:rFonts w:ascii="Palatino Linotype" w:hAnsi="Palatino Linotype" w:cs="Arial"/>
          <w:b/>
          <w:bCs/>
          <w:i/>
          <w:sz w:val="22"/>
        </w:rPr>
        <w:t>I. Certeza:</w:t>
      </w:r>
      <w:r w:rsidRPr="00AE2201">
        <w:rPr>
          <w:rFonts w:ascii="Palatino Linotype" w:hAnsi="Palatino Linotype" w:cs="Arial"/>
          <w:bCs/>
          <w:i/>
          <w:sz w:val="22"/>
        </w:rPr>
        <w:t xml:space="preserve"> Principio que otorga seguridad y certidumbre jurídica a los particulares, en virtud de que permite conocer si las acciones del Instituto son apegadas a derecho y garantiza que los procedimientos sean completamente verificables, fidedignos y confiables;</w:t>
      </w:r>
      <w:r w:rsidRPr="00AE2201">
        <w:rPr>
          <w:rFonts w:ascii="Palatino Linotype" w:hAnsi="Palatino Linotype" w:cs="Arial"/>
          <w:b/>
          <w:bCs/>
          <w:i/>
          <w:sz w:val="22"/>
        </w:rPr>
        <w:t xml:space="preserve"> </w:t>
      </w:r>
    </w:p>
    <w:p w:rsidR="00A46E1F" w:rsidRPr="00AE2201" w:rsidRDefault="00A46E1F" w:rsidP="00A46E1F">
      <w:pPr>
        <w:ind w:left="851" w:right="902"/>
        <w:jc w:val="both"/>
        <w:rPr>
          <w:rFonts w:ascii="Palatino Linotype" w:hAnsi="Palatino Linotype" w:cs="Arial"/>
          <w:b/>
          <w:bCs/>
          <w:i/>
          <w:sz w:val="22"/>
        </w:rPr>
      </w:pPr>
      <w:r w:rsidRPr="00AE2201">
        <w:rPr>
          <w:rFonts w:ascii="Palatino Linotype" w:hAnsi="Palatino Linotype" w:cs="Arial"/>
          <w:b/>
          <w:bCs/>
          <w:i/>
          <w:sz w:val="22"/>
        </w:rPr>
        <w:t>…</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
          <w:bCs/>
          <w:i/>
          <w:sz w:val="22"/>
        </w:rPr>
        <w:t xml:space="preserve">VII. Máxima Publicidad: </w:t>
      </w:r>
      <w:r w:rsidRPr="00AE2201">
        <w:rPr>
          <w:rFonts w:ascii="Palatino Linotype" w:hAnsi="Palatino Linotype" w:cs="Arial"/>
          <w:bCs/>
          <w:i/>
          <w:sz w:val="22"/>
        </w:rPr>
        <w:t xml:space="preserve">Toda la información en posesión de los sujetos obligados será pública, completa, oportuna y accesible, sujeta a un claro régimen de excepciones que deberán estar definidas y ser además legítimas y estrictamente necesarias en una sociedad democrática; </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
          <w:bCs/>
          <w:i/>
          <w:sz w:val="22"/>
        </w:rPr>
        <w:t xml:space="preserve">VIII. Objetividad: </w:t>
      </w:r>
      <w:r w:rsidRPr="00AE2201">
        <w:rPr>
          <w:rFonts w:ascii="Palatino Linotype" w:hAnsi="Palatino Linotype" w:cs="Arial"/>
          <w:bCs/>
          <w:i/>
          <w:sz w:val="22"/>
        </w:rPr>
        <w:t xml:space="preserve">Obligación del Instituto de ajustar su actuación a los presupuestos de ley que deben ser aplicados al analizar el caso en concreto y resolver todos los hechos, prescindiendo de las consideraciones y criterios personales; </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Cs/>
          <w:i/>
          <w:sz w:val="22"/>
        </w:rPr>
        <w:t>…</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Cs/>
          <w:i/>
          <w:sz w:val="22"/>
        </w:rPr>
        <w:t>(Énfasis añadido)</w:t>
      </w:r>
    </w:p>
    <w:p w:rsidR="00A46E1F" w:rsidRPr="00AE2201" w:rsidRDefault="00A46E1F" w:rsidP="00A46E1F">
      <w:pPr>
        <w:spacing w:before="100" w:beforeAutospacing="1" w:after="100" w:afterAutospacing="1" w:line="360" w:lineRule="auto"/>
        <w:jc w:val="both"/>
        <w:rPr>
          <w:rFonts w:ascii="Palatino Linotype" w:hAnsi="Palatino Linotype" w:cs="Arial"/>
        </w:rPr>
      </w:pPr>
      <w:r w:rsidRPr="00AE2201">
        <w:rPr>
          <w:rFonts w:ascii="Palatino Linotype" w:hAnsi="Palatino Linotype"/>
        </w:rPr>
        <w:t xml:space="preserve">A fin de robustecer lo expuesto, conviene citar </w:t>
      </w:r>
      <w:r w:rsidRPr="00AE2201">
        <w:rPr>
          <w:rFonts w:ascii="Palatino Linotype" w:hAnsi="Palatino Linotype" w:cs="Segoe UI"/>
        </w:rPr>
        <w:t xml:space="preserve">el criterio orientador </w:t>
      </w:r>
      <w:r w:rsidRPr="00AE2201">
        <w:rPr>
          <w:rFonts w:ascii="Palatino Linotype" w:hAnsi="Palatino Linotype"/>
        </w:rPr>
        <w:t xml:space="preserve">002/2017 del Instituto Nacional de Acceso a la Información y Protección de Datos (INAI),  y la </w:t>
      </w:r>
      <w:r w:rsidRPr="00AE2201">
        <w:rPr>
          <w:rFonts w:ascii="Palatino Linotype" w:hAnsi="Palatino Linotype" w:cs="Arial"/>
        </w:rPr>
        <w:t>tesis 1a. CCCXXVII/2014 (10a.) emitida por la Primera Sala de la Suprema Corte de Justicia de la Nación, cuyo tenor es el siguiente:</w:t>
      </w:r>
    </w:p>
    <w:p w:rsidR="00A46E1F" w:rsidRPr="00AE2201" w:rsidRDefault="00A46E1F" w:rsidP="00A46E1F">
      <w:pPr>
        <w:spacing w:before="100" w:beforeAutospacing="1" w:after="100" w:afterAutospacing="1"/>
        <w:ind w:left="851" w:right="899"/>
        <w:jc w:val="both"/>
        <w:rPr>
          <w:rFonts w:ascii="Palatino Linotype" w:hAnsi="Palatino Linotype" w:cs="Arial"/>
          <w:b/>
          <w:bCs/>
          <w:i/>
          <w:sz w:val="22"/>
        </w:rPr>
      </w:pPr>
      <w:r w:rsidRPr="00AE2201">
        <w:rPr>
          <w:rFonts w:ascii="Palatino Linotype" w:hAnsi="Palatino Linotype" w:cs="Arial"/>
          <w:b/>
          <w:bCs/>
          <w:i/>
          <w:sz w:val="22"/>
        </w:rPr>
        <w:t>“Congruencia y exhaustividad.</w:t>
      </w:r>
      <w:r w:rsidRPr="00AE2201">
        <w:rPr>
          <w:rFonts w:ascii="Palatino Linotype" w:hAnsi="Palatino Linotype" w:cs="Arial"/>
          <w:bCs/>
          <w:i/>
          <w:sz w:val="22"/>
        </w:rPr>
        <w:t xml:space="preserve"> Sus alcances para garantizar el derecho de acceso a la información. 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w:t>
      </w:r>
      <w:r w:rsidRPr="00AE2201">
        <w:rPr>
          <w:rFonts w:ascii="Palatino Linotype" w:hAnsi="Palatino Linotype" w:cs="Arial"/>
          <w:b/>
          <w:bCs/>
          <w:i/>
          <w:sz w:val="22"/>
        </w:rPr>
        <w:t xml:space="preserve">la congruencia implica que exista concordancia entre el requerimiento formulado por el particular y la </w:t>
      </w:r>
      <w:r w:rsidRPr="00AE2201">
        <w:rPr>
          <w:rFonts w:ascii="Palatino Linotype" w:hAnsi="Palatino Linotype" w:cs="Arial"/>
          <w:b/>
          <w:bCs/>
          <w:i/>
          <w:sz w:val="22"/>
        </w:rPr>
        <w:lastRenderedPageBreak/>
        <w:t>respuesta proporcionada por el sujeto obligado;</w:t>
      </w:r>
      <w:r w:rsidRPr="00AE2201">
        <w:rPr>
          <w:rFonts w:ascii="Palatino Linotype" w:hAnsi="Palatino Linotype" w:cs="Arial"/>
          <w:bCs/>
          <w:i/>
          <w:sz w:val="22"/>
        </w:rPr>
        <w:t xml:space="preserve"> mientras que </w:t>
      </w:r>
      <w:r w:rsidRPr="00AE2201">
        <w:rPr>
          <w:rFonts w:ascii="Palatino Linotype" w:hAnsi="Palatino Linotype" w:cs="Arial"/>
          <w:b/>
          <w:bCs/>
          <w:i/>
          <w:sz w:val="22"/>
        </w:rPr>
        <w:t xml:space="preserve">la exhaustividad significa que dicha respuesta se refiera expresamente a cada uno de los puntos solicitados. </w:t>
      </w:r>
      <w:r w:rsidRPr="00AE2201">
        <w:rPr>
          <w:rFonts w:ascii="Palatino Linotype" w:hAnsi="Palatino Linotype" w:cs="Arial"/>
          <w:bCs/>
          <w:i/>
          <w:sz w:val="22"/>
        </w:rPr>
        <w:t xml:space="preserve">Por lo anterior, los sujetos obligados cumplirán con los principios de congruencia y exhaustividad, </w:t>
      </w:r>
      <w:r w:rsidRPr="00AE2201">
        <w:rPr>
          <w:rFonts w:ascii="Palatino Linotype" w:hAnsi="Palatino Linotype" w:cs="Arial"/>
          <w:b/>
          <w:bCs/>
          <w:i/>
          <w:sz w:val="22"/>
        </w:rPr>
        <w:t>cuando las respuestas que emitan guarden una relación lógica con lo solicitado y atiendan de manera puntual y expresa, cada uno de los contenidos de información.</w:t>
      </w:r>
    </w:p>
    <w:p w:rsidR="00A46E1F" w:rsidRPr="00AE2201" w:rsidRDefault="00A46E1F" w:rsidP="00A46E1F">
      <w:pPr>
        <w:spacing w:before="100" w:beforeAutospacing="1" w:after="100" w:afterAutospacing="1"/>
        <w:ind w:left="851" w:right="899"/>
        <w:jc w:val="both"/>
        <w:rPr>
          <w:rFonts w:ascii="Palatino Linotype" w:hAnsi="Palatino Linotype" w:cs="Arial"/>
          <w:b/>
          <w:bCs/>
          <w:i/>
          <w:sz w:val="22"/>
        </w:rPr>
      </w:pPr>
      <w:r w:rsidRPr="00AE2201">
        <w:rPr>
          <w:rFonts w:ascii="Palatino Linotype" w:hAnsi="Palatino Linotype" w:cs="Arial"/>
          <w:bCs/>
          <w:i/>
          <w:sz w:val="22"/>
        </w:rPr>
        <w:t xml:space="preserve">Resoluciones: </w:t>
      </w:r>
      <w:r w:rsidRPr="00AE2201">
        <w:rPr>
          <w:rFonts w:ascii="Palatino Linotype" w:hAnsi="Palatino Linotype" w:cs="Arial"/>
          <w:bCs/>
          <w:i/>
          <w:sz w:val="22"/>
        </w:rPr>
        <w:sym w:font="Symbol" w:char="F0B7"/>
      </w:r>
      <w:r w:rsidRPr="00AE2201">
        <w:rPr>
          <w:rFonts w:ascii="Palatino Linotype" w:hAnsi="Palatino Linotype" w:cs="Arial"/>
          <w:bCs/>
          <w:i/>
          <w:sz w:val="22"/>
        </w:rPr>
        <w:t xml:space="preserve"> RRA 0003/16. Comisión Nacional de las Zonas Áridas. 29 de junio de 2016. Por unanimidad. Comisionado Ponente Oscar Mauricio Guerra Ford. </w:t>
      </w:r>
      <w:r w:rsidRPr="00AE2201">
        <w:rPr>
          <w:rFonts w:ascii="Palatino Linotype" w:hAnsi="Palatino Linotype" w:cs="Arial"/>
          <w:bCs/>
          <w:i/>
          <w:sz w:val="22"/>
        </w:rPr>
        <w:sym w:font="Symbol" w:char="F0B7"/>
      </w:r>
      <w:r w:rsidRPr="00AE2201">
        <w:rPr>
          <w:rFonts w:ascii="Palatino Linotype" w:hAnsi="Palatino Linotype" w:cs="Arial"/>
          <w:bCs/>
          <w:i/>
          <w:sz w:val="22"/>
        </w:rPr>
        <w:t xml:space="preserve"> RRA 0100/16. Sindicato Nacional de Trabajadores de la Educación. 13 de julio de 2016. Por unanimidad. Comisionada Ponente. Areli Cano Guadiana. </w:t>
      </w:r>
      <w:r w:rsidRPr="00AE2201">
        <w:rPr>
          <w:rFonts w:ascii="Palatino Linotype" w:hAnsi="Palatino Linotype" w:cs="Arial"/>
          <w:bCs/>
          <w:i/>
          <w:sz w:val="22"/>
        </w:rPr>
        <w:sym w:font="Symbol" w:char="F0B7"/>
      </w:r>
      <w:r w:rsidRPr="00AE2201">
        <w:rPr>
          <w:rFonts w:ascii="Palatino Linotype" w:hAnsi="Palatino Linotype" w:cs="Arial"/>
          <w:bCs/>
          <w:i/>
          <w:sz w:val="22"/>
        </w:rPr>
        <w:t xml:space="preserve"> RRA 1419/16. Secretaría de Educación Pública. 14 de septiembre de 2016. Por unanimidad. Comisionado Ponente Rosendoevgueni Monterrey Chepov</w:t>
      </w:r>
      <w:r w:rsidRPr="00AE2201">
        <w:rPr>
          <w:rFonts w:ascii="Palatino Linotype" w:hAnsi="Palatino Linotype" w:cs="Arial"/>
          <w:b/>
          <w:bCs/>
          <w:i/>
          <w:sz w:val="22"/>
        </w:rPr>
        <w:t>.”</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Cs/>
          <w:i/>
          <w:sz w:val="22"/>
        </w:rPr>
        <w:t xml:space="preserve">Época: Décima Época </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Cs/>
          <w:i/>
          <w:sz w:val="22"/>
        </w:rPr>
        <w:t xml:space="preserve">Registro: 2007561 </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Cs/>
          <w:i/>
          <w:sz w:val="22"/>
        </w:rPr>
        <w:t xml:space="preserve">Instancia: Primera Sala </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Cs/>
          <w:i/>
          <w:sz w:val="22"/>
        </w:rPr>
        <w:t xml:space="preserve">Tipo de Tesis: Aislada </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Cs/>
          <w:i/>
          <w:sz w:val="22"/>
        </w:rPr>
        <w:t xml:space="preserve">Fuente: Gaceta del Semanario Judicial de la Federación </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Cs/>
          <w:i/>
          <w:sz w:val="22"/>
        </w:rPr>
        <w:t xml:space="preserve">Libro 11, Octubre de 2014, Tomo I </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Cs/>
          <w:i/>
          <w:sz w:val="22"/>
        </w:rPr>
        <w:t xml:space="preserve">Materia(s): Constitucional, Común </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Cs/>
          <w:i/>
          <w:sz w:val="22"/>
        </w:rPr>
        <w:t xml:space="preserve">Tesis: 1a. CCCXXVII/2014 (10a.) </w:t>
      </w:r>
    </w:p>
    <w:p w:rsidR="00A46E1F" w:rsidRPr="00AE2201" w:rsidRDefault="00A46E1F" w:rsidP="00A46E1F">
      <w:pPr>
        <w:ind w:left="851" w:right="902"/>
        <w:jc w:val="both"/>
        <w:rPr>
          <w:rFonts w:ascii="Palatino Linotype" w:hAnsi="Palatino Linotype" w:cs="Arial"/>
          <w:bCs/>
          <w:i/>
          <w:sz w:val="22"/>
        </w:rPr>
      </w:pPr>
      <w:r w:rsidRPr="00AE2201">
        <w:rPr>
          <w:rFonts w:ascii="Palatino Linotype" w:hAnsi="Palatino Linotype" w:cs="Arial"/>
          <w:bCs/>
          <w:i/>
          <w:sz w:val="22"/>
        </w:rPr>
        <w:t xml:space="preserve">Página: 613 </w:t>
      </w:r>
    </w:p>
    <w:p w:rsidR="00A46E1F" w:rsidRPr="00AE2201" w:rsidRDefault="00A46E1F" w:rsidP="00A46E1F">
      <w:pPr>
        <w:spacing w:before="100" w:beforeAutospacing="1" w:after="100" w:afterAutospacing="1"/>
        <w:ind w:left="851" w:right="899"/>
        <w:jc w:val="both"/>
        <w:rPr>
          <w:rFonts w:ascii="Palatino Linotype" w:hAnsi="Palatino Linotype" w:cs="Arial"/>
          <w:b/>
          <w:bCs/>
          <w:i/>
          <w:sz w:val="22"/>
        </w:rPr>
      </w:pPr>
      <w:r w:rsidRPr="00AE2201">
        <w:rPr>
          <w:rFonts w:ascii="Palatino Linotype" w:hAnsi="Palatino Linotype" w:cs="Arial"/>
          <w:b/>
          <w:bCs/>
          <w:i/>
          <w:sz w:val="22"/>
        </w:rPr>
        <w:t>“PRINCIPIO PRO PERSONA. REQUISITOS MÍNIMOS PARA QUE SE ATIENDA EL FONDO DE LA SOLICITUD DE SU APLICACIÓN, O LA IMPUGNACIÓN DE SU OMISIÓN POR LA AUTORIDAD RESPONSABLE.</w:t>
      </w:r>
    </w:p>
    <w:p w:rsidR="00A46E1F" w:rsidRPr="00AE2201" w:rsidRDefault="00A46E1F" w:rsidP="00A46E1F">
      <w:pPr>
        <w:spacing w:before="100" w:beforeAutospacing="1" w:after="100" w:afterAutospacing="1"/>
        <w:ind w:left="851" w:right="899"/>
        <w:jc w:val="both"/>
        <w:rPr>
          <w:rFonts w:ascii="Palatino Linotype" w:hAnsi="Palatino Linotype" w:cs="Arial"/>
          <w:bCs/>
          <w:i/>
          <w:sz w:val="22"/>
        </w:rPr>
      </w:pPr>
      <w:r w:rsidRPr="00AE2201">
        <w:rPr>
          <w:rFonts w:ascii="Palatino Linotype" w:hAnsi="Palatino Linotype" w:cs="Arial"/>
          <w:b/>
          <w:bCs/>
          <w:i/>
          <w:sz w:val="22"/>
        </w:rPr>
        <w:t>El artículo 1o. de la Constitución</w:t>
      </w:r>
      <w:r w:rsidRPr="00AE2201">
        <w:rPr>
          <w:rFonts w:ascii="Palatino Linotype" w:hAnsi="Palatino Linotype" w:cs="Arial"/>
          <w:bCs/>
          <w:i/>
          <w:sz w:val="22"/>
        </w:rPr>
        <w:t xml:space="preserve"> Política de los Estados Unidos Mexicanos </w:t>
      </w:r>
      <w:r w:rsidRPr="00AE2201">
        <w:rPr>
          <w:rFonts w:ascii="Palatino Linotype" w:hAnsi="Palatino Linotype" w:cs="Arial"/>
          <w:b/>
          <w:bCs/>
          <w:i/>
          <w:sz w:val="22"/>
        </w:rPr>
        <w:t>impone a las autoridades el deber de aplicar el principio pro persona como un criterio de interpretación de las normas relativas a derechos humanos</w:t>
      </w:r>
      <w:r w:rsidRPr="00AE2201">
        <w:rPr>
          <w:rFonts w:ascii="Palatino Linotype" w:hAnsi="Palatino Linotype" w:cs="Arial"/>
          <w:bCs/>
          <w:i/>
          <w:sz w:val="22"/>
        </w:rPr>
        <w:t xml:space="preserve">, el cual </w:t>
      </w:r>
      <w:r w:rsidRPr="00AE2201">
        <w:rPr>
          <w:rFonts w:ascii="Palatino Linotype" w:hAnsi="Palatino Linotype" w:cs="Arial"/>
          <w:b/>
          <w:bCs/>
          <w:i/>
          <w:sz w:val="22"/>
        </w:rPr>
        <w:t>busca maximizar</w:t>
      </w:r>
      <w:r w:rsidRPr="00AE2201">
        <w:rPr>
          <w:rFonts w:ascii="Palatino Linotype" w:hAnsi="Palatino Linotype" w:cs="Arial"/>
          <w:bCs/>
          <w:i/>
          <w:sz w:val="22"/>
        </w:rPr>
        <w:t xml:space="preserve"> su vigencia y respeto, para optar por </w:t>
      </w:r>
      <w:r w:rsidRPr="00AE2201">
        <w:rPr>
          <w:rFonts w:ascii="Palatino Linotype" w:hAnsi="Palatino Linotype" w:cs="Arial"/>
          <w:b/>
          <w:bCs/>
          <w:i/>
          <w:sz w:val="22"/>
        </w:rPr>
        <w:t>la aplicación o interpretación de la norma que los favorezca en mayor medida</w:t>
      </w:r>
      <w:r w:rsidRPr="00AE2201">
        <w:rPr>
          <w:rFonts w:ascii="Palatino Linotype" w:hAnsi="Palatino Linotype" w:cs="Arial"/>
          <w:bCs/>
          <w:i/>
          <w:sz w:val="22"/>
        </w:rPr>
        <w:t xml:space="preserve">, o bien, que implique menores restricciones a su ejercicio. Así, como deber, se entiende que dicho principio </w:t>
      </w:r>
      <w:r w:rsidRPr="00AE2201">
        <w:rPr>
          <w:rFonts w:ascii="Palatino Linotype" w:hAnsi="Palatino Linotype" w:cs="Arial"/>
          <w:b/>
          <w:bCs/>
          <w:i/>
          <w:sz w:val="22"/>
        </w:rPr>
        <w:t>es aplicable de oficio</w:t>
      </w:r>
      <w:r w:rsidRPr="00AE2201">
        <w:rPr>
          <w:rFonts w:ascii="Palatino Linotype" w:hAnsi="Palatino Linotype" w:cs="Arial"/>
          <w:bCs/>
          <w:i/>
          <w:sz w:val="22"/>
        </w:rPr>
        <w:t xml:space="preserve">, cuando el Juez o tribunal considere necesario acudir a este criterio interpretativo para resolver los casos puestos a su consideración, </w:t>
      </w:r>
      <w:r w:rsidRPr="00AE2201">
        <w:rPr>
          <w:rFonts w:ascii="Palatino Linotype" w:hAnsi="Palatino Linotype" w:cs="Arial"/>
          <w:bCs/>
          <w:i/>
          <w:sz w:val="22"/>
        </w:rPr>
        <w:lastRenderedPageBreak/>
        <w:t xml:space="preserve">pero también es factible que el quejoso en un juicio de amparo se inconforme con su falta de aplicación, o bien, solicite al órgano jurisdiccional llevar a cabo tal ejercicio interpretativo, y esta petición, para ser atendida de fondo, requiere del cumplimiento de una carga mínima; por lo que, tomando en cuenta la regla de expresar con claridad lo pedido y la causa de pedir, así como los conceptos de violación que causa el acto reclamado, es necesario que la solicitud para aplicar el principio citado o la impugnación de no haberse realizado por la autoridad responsable, dirigida al tribunal de amparo, reúna los siguientes requisitos mínimos: a) pedir la aplicación del principio o impugnar su falta de aplicación por la autoridad responsable; b) señalar cuál es el derecho humano o fundamental cuya maximización se pretende; c) indicar la norma cuya aplicación debe preferirse o la interpretación que resulta más favorable hacia el derecho fundamental; y, d) precisar los motivos para preferirlos en lugar de otras normas o interpretaciones posibles. En ese sentido, con el primer requisito se evita toda duda o incertidumbre sobre lo que se pretende del tribunal; el segundo obedece al objeto del principio pro persona, pues </w:t>
      </w:r>
      <w:r w:rsidRPr="00AE2201">
        <w:rPr>
          <w:rFonts w:ascii="Palatino Linotype" w:hAnsi="Palatino Linotype" w:cs="Arial"/>
          <w:b/>
          <w:bCs/>
          <w:i/>
          <w:sz w:val="22"/>
        </w:rPr>
        <w:t>para realizarlo debe conocerse cuál es el derecho humano que se busca maximizar</w:t>
      </w:r>
      <w:r w:rsidRPr="00AE2201">
        <w:rPr>
          <w:rFonts w:ascii="Palatino Linotype" w:hAnsi="Palatino Linotype" w:cs="Arial"/>
          <w:bCs/>
          <w:i/>
          <w:sz w:val="22"/>
        </w:rPr>
        <w:t>, aunado a que, como el juicio de amparo es un medio de control de constitucionalidad, es necesario que el quejoso indique cuál es la parte del parámetro de control de regularidad constitucional que está siendo afectada; finalmente, el tercero y el cuarto requisitos cumplen la función de esclarecer al tribunal cuál es la disyuntiva de elección entre dos o más normas o interpretaciones, y los motivos para estimar que la propuesta por el quejoso es de mayor protección al derecho fundamental. De ahí que con tales elementos, el órgano jurisdiccional de amparo podrá estar en condiciones de establecer si la aplicación del principio referido, propuesta por el quejoso, es viable o no en el caso particular del conocimiento.”</w:t>
      </w:r>
    </w:p>
    <w:p w:rsidR="00A46E1F" w:rsidRPr="00AE2201" w:rsidRDefault="00A46E1F" w:rsidP="00A46E1F">
      <w:pPr>
        <w:spacing w:before="100" w:beforeAutospacing="1" w:after="100" w:afterAutospacing="1"/>
        <w:ind w:left="851" w:right="899"/>
        <w:jc w:val="both"/>
        <w:rPr>
          <w:rFonts w:ascii="Palatino Linotype" w:hAnsi="Palatino Linotype" w:cs="Arial"/>
          <w:bCs/>
          <w:i/>
          <w:sz w:val="22"/>
        </w:rPr>
      </w:pPr>
      <w:r w:rsidRPr="00AE2201">
        <w:rPr>
          <w:rFonts w:ascii="Palatino Linotype" w:hAnsi="Palatino Linotype" w:cs="Arial"/>
          <w:bCs/>
          <w:i/>
          <w:sz w:val="22"/>
        </w:rPr>
        <w:t>(Énfasis añadido)</w:t>
      </w:r>
    </w:p>
    <w:p w:rsidR="00A46E1F" w:rsidRPr="00AE2201" w:rsidRDefault="00A46E1F" w:rsidP="00A46E1F">
      <w:pPr>
        <w:spacing w:line="360" w:lineRule="auto"/>
        <w:jc w:val="both"/>
        <w:rPr>
          <w:rFonts w:ascii="Palatino Linotype" w:hAnsi="Palatino Linotype" w:cs="Arial"/>
        </w:rPr>
      </w:pPr>
      <w:r w:rsidRPr="00AE2201">
        <w:rPr>
          <w:rFonts w:ascii="Palatino Linotype" w:hAnsi="Palatino Linotype" w:cs="Arial"/>
        </w:rPr>
        <w:t>De lo anterior, esta Ponencia Resolutora en aras de privilegiar el derecho de acceso a la información pública del solicitante y del análisis realizado a los Acuerdos de Clasificación de la Información como reservada emitidos por el Comité de Transparencia</w:t>
      </w:r>
      <w:r w:rsidRPr="00AE2201">
        <w:rPr>
          <w:rFonts w:ascii="Palatino Linotype" w:hAnsi="Palatino Linotype" w:cs="Arial"/>
          <w:spacing w:val="-16"/>
        </w:rPr>
        <w:t xml:space="preserve"> </w:t>
      </w:r>
      <w:r w:rsidRPr="00AE2201">
        <w:rPr>
          <w:rFonts w:ascii="Palatino Linotype" w:hAnsi="Palatino Linotype" w:cs="Arial"/>
        </w:rPr>
        <w:t xml:space="preserve">del </w:t>
      </w:r>
      <w:r w:rsidRPr="00AE2201">
        <w:rPr>
          <w:rFonts w:ascii="Palatino Linotype" w:hAnsi="Palatino Linotype" w:cs="Arial"/>
          <w:b/>
        </w:rPr>
        <w:t xml:space="preserve">SUJETO OBLIGADO </w:t>
      </w:r>
      <w:r w:rsidRPr="00AE2201">
        <w:rPr>
          <w:rFonts w:ascii="Palatino Linotype" w:hAnsi="Palatino Linotype" w:cs="Arial"/>
        </w:rPr>
        <w:t xml:space="preserve">y hechos de su conocimiento mediante las respuestas otorgadas a las solicitudes de información planteadas, se advirtió que no encuentra impedimento alguno para dar a conocer el contenido de los requerimientos </w:t>
      </w:r>
      <w:r w:rsidRPr="00AE2201">
        <w:rPr>
          <w:rFonts w:ascii="Palatino Linotype" w:hAnsi="Palatino Linotype" w:cs="Arial"/>
        </w:rPr>
        <w:lastRenderedPageBreak/>
        <w:t xml:space="preserve">de pago entregados por el Instituto de Seguridad Social del Estado de México y Municipios a la Universidad Autónoma del Estado de México y Municipios, ya que si bien, de las actividades de fiscalización, verificación, inspección y comprobación de la recaudación de contribuciones que realizó </w:t>
      </w:r>
      <w:r w:rsidRPr="00AE2201">
        <w:rPr>
          <w:rFonts w:ascii="Palatino Linotype" w:hAnsi="Palatino Linotype" w:cs="Arial"/>
          <w:b/>
        </w:rPr>
        <w:t xml:space="preserve">EL SUJETO OBLIGADO </w:t>
      </w:r>
      <w:r w:rsidRPr="00AE2201">
        <w:rPr>
          <w:rFonts w:ascii="Palatino Linotype" w:hAnsi="Palatino Linotype" w:cs="Arial"/>
        </w:rPr>
        <w:t xml:space="preserve">derivaron procedimientos de cumplimiento de obligaciones fiscales y éstos no han causado ejecutoria, ello no implica la de dichos expedientes, sino únicamente la publicidad de los requerimiento solicitados sin que con esto se vulneren derechos de terceros, pues a dicha información </w:t>
      </w:r>
      <w:r w:rsidR="00B6680F" w:rsidRPr="00AE2201">
        <w:rPr>
          <w:rFonts w:ascii="Palatino Linotype" w:hAnsi="Palatino Linotype" w:cs="Arial"/>
        </w:rPr>
        <w:t>no</w:t>
      </w:r>
      <w:r w:rsidRPr="00AE2201">
        <w:rPr>
          <w:rFonts w:ascii="Palatino Linotype" w:hAnsi="Palatino Linotype" w:cs="Arial"/>
        </w:rPr>
        <w:t xml:space="preserve"> le reviste el carácter de  reservada</w:t>
      </w:r>
      <w:r w:rsidR="00B6680F" w:rsidRPr="00AE2201">
        <w:rPr>
          <w:rFonts w:ascii="Palatino Linotype" w:hAnsi="Palatino Linotype" w:cs="Arial"/>
        </w:rPr>
        <w:t>, dado a que se supera el interés de dar a conocer en atención a la máxima publicidad y transparencia si efectivamente se realizaron los requerimientos de pago</w:t>
      </w:r>
      <w:r w:rsidRPr="00AE2201">
        <w:rPr>
          <w:rFonts w:ascii="Palatino Linotype" w:hAnsi="Palatino Linotype" w:cs="Arial"/>
        </w:rPr>
        <w:t>; por lo que, se ordena la entrega de la información solicitada, consistente en los requerimientos de pago entregados por el Instituto de Seguridad Social del Estado de México y Municipios a la Universidad Autónoma del Estado de México y Municipios del 1 de enero de 2015 al 27 de agosto de 2018, fecha en que se presentaron las solicitudes de información que dieron origen a los recursos de revisión acumulados y que hoy son objeto de estudio</w:t>
      </w:r>
      <w:r w:rsidRPr="00AE2201">
        <w:rPr>
          <w:rStyle w:val="Refdenotaalpie"/>
          <w:rFonts w:ascii="Palatino Linotype" w:hAnsi="Palatino Linotype" w:cs="Arial"/>
        </w:rPr>
        <w:footnoteReference w:id="4"/>
      </w:r>
      <w:r w:rsidRPr="00AE2201">
        <w:rPr>
          <w:rFonts w:ascii="Palatino Linotype" w:hAnsi="Palatino Linotype" w:cs="Arial"/>
        </w:rPr>
        <w:t>.</w:t>
      </w:r>
    </w:p>
    <w:p w:rsidR="00A46E1F" w:rsidRPr="00AE2201" w:rsidRDefault="00A46E1F" w:rsidP="00A46E1F">
      <w:pPr>
        <w:spacing w:before="240" w:after="240" w:line="360" w:lineRule="auto"/>
        <w:jc w:val="both"/>
        <w:rPr>
          <w:rFonts w:ascii="Palatino Linotype" w:hAnsi="Palatino Linotype" w:cs="Arial"/>
        </w:rPr>
      </w:pPr>
      <w:r w:rsidRPr="00AE2201">
        <w:rPr>
          <w:rFonts w:ascii="Palatino Linotype" w:hAnsi="Palatino Linotype" w:cs="Arial"/>
        </w:rPr>
        <w:t xml:space="preserve">Así, en conclusión esta Ponencia Resolutora no advirtió conexidad entre los requerimientos de pago solicitados y el argumento vertido por </w:t>
      </w:r>
      <w:r w:rsidRPr="00AE2201">
        <w:rPr>
          <w:rFonts w:ascii="Palatino Linotype" w:hAnsi="Palatino Linotype" w:cs="Arial"/>
          <w:b/>
        </w:rPr>
        <w:t>EL SUJETO OBLIGADO</w:t>
      </w:r>
      <w:r w:rsidRPr="00AE2201">
        <w:rPr>
          <w:rFonts w:ascii="Palatino Linotype" w:hAnsi="Palatino Linotype" w:cs="Arial"/>
        </w:rPr>
        <w:t xml:space="preserve"> referente a la afectación que se causaría, pues éste no acreditó los elementos para determinar la reserva de la información requerida; por lo que, el Pleno de este Instituto determina que las razones o motivos de inconformidad devienen </w:t>
      </w:r>
      <w:r w:rsidRPr="00AE2201">
        <w:rPr>
          <w:rFonts w:ascii="Palatino Linotype" w:hAnsi="Palatino Linotype" w:cs="Arial"/>
          <w:b/>
        </w:rPr>
        <w:lastRenderedPageBreak/>
        <w:t>parcialmente fundadas</w:t>
      </w:r>
      <w:r w:rsidRPr="00AE2201">
        <w:rPr>
          <w:rFonts w:ascii="Palatino Linotype" w:hAnsi="Palatino Linotype" w:cs="Arial"/>
        </w:rPr>
        <w:t xml:space="preserve">, toda vez que conforme al estudio realizado se actualizan las causales de procedencia enunciadas en las fracciones I y II del numeral 179 de la Ley de Transparencia y Acceso a la Información Pública del Estado de México y Municipios, por lo que se determina </w:t>
      </w:r>
      <w:r w:rsidRPr="00AE2201">
        <w:rPr>
          <w:rFonts w:ascii="Palatino Linotype" w:hAnsi="Palatino Linotype" w:cs="Arial"/>
          <w:b/>
        </w:rPr>
        <w:t>REVOCAR</w:t>
      </w:r>
      <w:r w:rsidRPr="00AE2201">
        <w:rPr>
          <w:rFonts w:ascii="Palatino Linotype" w:hAnsi="Palatino Linotype" w:cs="Arial"/>
        </w:rPr>
        <w:t xml:space="preserve"> la respuesta del </w:t>
      </w:r>
      <w:r w:rsidRPr="00AE2201">
        <w:rPr>
          <w:rFonts w:ascii="Palatino Linotype" w:hAnsi="Palatino Linotype" w:cs="Arial"/>
          <w:b/>
        </w:rPr>
        <w:t xml:space="preserve">SUJETO OBLIGADO </w:t>
      </w:r>
      <w:r w:rsidRPr="00AE2201">
        <w:rPr>
          <w:rFonts w:ascii="Palatino Linotype" w:hAnsi="Palatino Linotype" w:cs="Arial"/>
        </w:rPr>
        <w:t>y ordenarle la entrega de la información solicitada, en términos del diverso 186, fracciones III y IV.</w:t>
      </w:r>
    </w:p>
    <w:p w:rsidR="00A46E1F" w:rsidRPr="00AE2201" w:rsidRDefault="00A46E1F" w:rsidP="00A46E1F">
      <w:pPr>
        <w:spacing w:before="100" w:beforeAutospacing="1" w:after="100" w:afterAutospacing="1" w:line="360" w:lineRule="auto"/>
        <w:ind w:right="49"/>
        <w:jc w:val="both"/>
        <w:rPr>
          <w:rFonts w:ascii="Palatino Linotype" w:hAnsi="Palatino Linotype" w:cs="Arial"/>
        </w:rPr>
      </w:pPr>
      <w:r w:rsidRPr="00AE2201">
        <w:rPr>
          <w:rFonts w:ascii="Palatino Linotype" w:hAnsi="Palatino Linotype" w:cs="Arial"/>
        </w:rPr>
        <w:t>Así, con fundamento en lo prescrito en los artículos 5, párrafos vigésimo, vigésimo primero y vigésimo segundo, fracciones IV y V de la Constitución Política del Estado Libre y Soberano de México; 2, fracción II, 9, 29, 36, fracciones I y II, 176, 178, 179, 181, 185, fracción I, 186 y 188 de la Ley de Transparencia y Acceso a la Información Pública del Estado de México y Municipios, este Pleno:</w:t>
      </w:r>
    </w:p>
    <w:bookmarkEnd w:id="2"/>
    <w:p w:rsidR="00A46E1F" w:rsidRPr="00AE2201" w:rsidRDefault="00A46E1F" w:rsidP="00A46E1F">
      <w:pPr>
        <w:spacing w:before="240" w:after="240" w:line="360" w:lineRule="auto"/>
        <w:jc w:val="center"/>
        <w:rPr>
          <w:rFonts w:ascii="Palatino Linotype" w:hAnsi="Palatino Linotype"/>
          <w:b/>
          <w:color w:val="000000" w:themeColor="text1"/>
          <w:sz w:val="28"/>
          <w:szCs w:val="28"/>
          <w:lang w:val="pt-BR"/>
        </w:rPr>
      </w:pPr>
      <w:r w:rsidRPr="00AE2201">
        <w:rPr>
          <w:rFonts w:ascii="Palatino Linotype" w:hAnsi="Palatino Linotype"/>
          <w:b/>
          <w:color w:val="000000" w:themeColor="text1"/>
          <w:sz w:val="28"/>
          <w:szCs w:val="28"/>
          <w:lang w:val="pt-BR"/>
        </w:rPr>
        <w:t>R E S U E L V E</w:t>
      </w:r>
    </w:p>
    <w:p w:rsidR="00A46E1F" w:rsidRPr="00AE2201" w:rsidRDefault="00A46E1F" w:rsidP="00A46E1F">
      <w:pPr>
        <w:widowControl w:val="0"/>
        <w:autoSpaceDE w:val="0"/>
        <w:autoSpaceDN w:val="0"/>
        <w:adjustRightInd w:val="0"/>
        <w:spacing w:before="240" w:after="240" w:line="360" w:lineRule="auto"/>
        <w:jc w:val="both"/>
        <w:rPr>
          <w:rFonts w:ascii="Palatino Linotype" w:hAnsi="Palatino Linotype"/>
          <w:b/>
        </w:rPr>
      </w:pPr>
      <w:r w:rsidRPr="00AE2201">
        <w:rPr>
          <w:rFonts w:ascii="Palatino Linotype" w:hAnsi="Palatino Linotype" w:cs="Arial"/>
          <w:b/>
          <w:color w:val="000000" w:themeColor="text1"/>
          <w:sz w:val="28"/>
          <w:szCs w:val="28"/>
        </w:rPr>
        <w:t>PRIMERO.</w:t>
      </w:r>
      <w:r w:rsidRPr="00AE2201">
        <w:rPr>
          <w:rFonts w:ascii="Palatino Linotype" w:hAnsi="Palatino Linotype" w:cs="Arial"/>
          <w:color w:val="000000" w:themeColor="text1"/>
        </w:rPr>
        <w:t xml:space="preserve"> Resultan </w:t>
      </w:r>
      <w:r w:rsidRPr="00AE2201">
        <w:rPr>
          <w:rFonts w:ascii="Palatino Linotype" w:hAnsi="Palatino Linotype" w:cs="Arial"/>
          <w:b/>
        </w:rPr>
        <w:t xml:space="preserve">parcialmente </w:t>
      </w:r>
      <w:r w:rsidRPr="00AE2201">
        <w:rPr>
          <w:rFonts w:ascii="Palatino Linotype" w:hAnsi="Palatino Linotype" w:cs="Arial"/>
          <w:b/>
          <w:color w:val="000000" w:themeColor="text1"/>
        </w:rPr>
        <w:t>fundadas</w:t>
      </w:r>
      <w:r w:rsidRPr="00AE2201">
        <w:rPr>
          <w:rFonts w:ascii="Palatino Linotype" w:hAnsi="Palatino Linotype" w:cs="Arial"/>
          <w:color w:val="000000" w:themeColor="text1"/>
        </w:rPr>
        <w:t xml:space="preserve"> las razones o motivos de inconformidad planteadas por </w:t>
      </w:r>
      <w:r w:rsidRPr="00AE2201">
        <w:rPr>
          <w:rFonts w:ascii="Palatino Linotype" w:hAnsi="Palatino Linotype" w:cs="Arial"/>
          <w:b/>
          <w:color w:val="000000"/>
        </w:rPr>
        <w:t>EL RECURRENTE</w:t>
      </w:r>
      <w:r w:rsidRPr="00AE2201">
        <w:rPr>
          <w:rFonts w:ascii="Palatino Linotype" w:hAnsi="Palatino Linotype" w:cs="Arial"/>
          <w:color w:val="000000" w:themeColor="text1"/>
        </w:rPr>
        <w:t xml:space="preserve"> y analizadas en el Considerando </w:t>
      </w:r>
      <w:r w:rsidRPr="00AE2201">
        <w:rPr>
          <w:rFonts w:ascii="Palatino Linotype" w:hAnsi="Palatino Linotype" w:cs="Arial"/>
          <w:b/>
          <w:color w:val="000000" w:themeColor="text1"/>
        </w:rPr>
        <w:t>SEXTO</w:t>
      </w:r>
      <w:r w:rsidRPr="00AE2201">
        <w:rPr>
          <w:rFonts w:ascii="Palatino Linotype" w:hAnsi="Palatino Linotype" w:cs="Arial"/>
          <w:color w:val="000000" w:themeColor="text1"/>
        </w:rPr>
        <w:t xml:space="preserve"> de esta resolución.</w:t>
      </w:r>
    </w:p>
    <w:p w:rsidR="00A46E1F" w:rsidRPr="00AE2201" w:rsidRDefault="00A46E1F" w:rsidP="00A46E1F">
      <w:pPr>
        <w:spacing w:before="240" w:after="240" w:line="360" w:lineRule="auto"/>
        <w:ind w:right="49"/>
        <w:jc w:val="both"/>
        <w:rPr>
          <w:rFonts w:ascii="Palatino Linotype" w:hAnsi="Palatino Linotype" w:cs="Arial"/>
          <w:color w:val="000000" w:themeColor="text1"/>
        </w:rPr>
      </w:pPr>
      <w:r w:rsidRPr="00AE2201">
        <w:rPr>
          <w:rFonts w:ascii="Palatino Linotype" w:hAnsi="Palatino Linotype" w:cs="Arial"/>
          <w:b/>
          <w:color w:val="000000" w:themeColor="text1"/>
          <w:sz w:val="28"/>
          <w:szCs w:val="28"/>
        </w:rPr>
        <w:t>SEGUNDO.</w:t>
      </w:r>
      <w:r w:rsidRPr="00AE2201">
        <w:rPr>
          <w:rFonts w:ascii="Palatino Linotype" w:hAnsi="Palatino Linotype" w:cs="Arial"/>
          <w:color w:val="000000" w:themeColor="text1"/>
        </w:rPr>
        <w:t xml:space="preserve"> Se</w:t>
      </w:r>
      <w:r w:rsidRPr="00AE2201">
        <w:rPr>
          <w:rFonts w:ascii="Palatino Linotype" w:hAnsi="Palatino Linotype" w:cs="Arial"/>
          <w:b/>
          <w:color w:val="000000" w:themeColor="text1"/>
        </w:rPr>
        <w:t xml:space="preserve"> REVOCAN </w:t>
      </w:r>
      <w:r w:rsidRPr="00AE2201">
        <w:rPr>
          <w:rFonts w:ascii="Palatino Linotype" w:hAnsi="Palatino Linotype" w:cs="Arial"/>
          <w:color w:val="000000" w:themeColor="text1"/>
        </w:rPr>
        <w:t>la</w:t>
      </w:r>
      <w:r w:rsidR="00AE2201" w:rsidRPr="00AE2201">
        <w:rPr>
          <w:rFonts w:ascii="Palatino Linotype" w:hAnsi="Palatino Linotype" w:cs="Arial"/>
          <w:color w:val="000000" w:themeColor="text1"/>
        </w:rPr>
        <w:t>s</w:t>
      </w:r>
      <w:r w:rsidRPr="00AE2201">
        <w:rPr>
          <w:rFonts w:ascii="Palatino Linotype" w:hAnsi="Palatino Linotype" w:cs="Arial"/>
          <w:color w:val="000000" w:themeColor="text1"/>
        </w:rPr>
        <w:t xml:space="preserve"> respuesta</w:t>
      </w:r>
      <w:r w:rsidR="00AE2201" w:rsidRPr="00AE2201">
        <w:rPr>
          <w:rFonts w:ascii="Palatino Linotype" w:hAnsi="Palatino Linotype" w:cs="Arial"/>
          <w:color w:val="000000" w:themeColor="text1"/>
        </w:rPr>
        <w:t>s</w:t>
      </w:r>
      <w:r w:rsidRPr="00AE2201">
        <w:rPr>
          <w:rFonts w:ascii="Palatino Linotype" w:hAnsi="Palatino Linotype" w:cs="Arial"/>
          <w:color w:val="000000" w:themeColor="text1"/>
        </w:rPr>
        <w:t xml:space="preserve"> del </w:t>
      </w:r>
      <w:r w:rsidRPr="00AE2201">
        <w:rPr>
          <w:rFonts w:ascii="Palatino Linotype" w:hAnsi="Palatino Linotype" w:cs="Arial"/>
          <w:b/>
          <w:color w:val="000000" w:themeColor="text1"/>
        </w:rPr>
        <w:t xml:space="preserve">SUJETO OBLIGADO </w:t>
      </w:r>
      <w:r w:rsidRPr="00AE2201">
        <w:rPr>
          <w:rFonts w:ascii="Palatino Linotype" w:hAnsi="Palatino Linotype" w:cs="Arial"/>
          <w:color w:val="000000" w:themeColor="text1"/>
        </w:rPr>
        <w:t xml:space="preserve">otorgadas a las solicitudes de información números </w:t>
      </w:r>
      <w:r w:rsidRPr="00AE2201">
        <w:rPr>
          <w:rFonts w:ascii="Palatino Linotype" w:hAnsi="Palatino Linotype" w:cs="Arial"/>
          <w:b/>
          <w:bCs/>
          <w:spacing w:val="-20"/>
        </w:rPr>
        <w:t xml:space="preserve">00486/ISSEMYM/IP/2018, 00487/ISSEMYM/IP/2018, 00488/ISSEMYM/IP/2018, 00489/ISSEMYM/IP/2018, 00504/ISSEMYM/IP/2018, 00501/ISSEMYM/IP/2018, 00502/ISSEMYM/IP/2018, </w:t>
      </w:r>
      <w:r w:rsidRPr="00AE2201">
        <w:rPr>
          <w:rFonts w:ascii="Palatino Linotype" w:hAnsi="Palatino Linotype" w:cs="Arial"/>
          <w:bCs/>
          <w:spacing w:val="-20"/>
        </w:rPr>
        <w:t>y</w:t>
      </w:r>
      <w:r w:rsidRPr="00AE2201">
        <w:rPr>
          <w:rFonts w:ascii="Palatino Linotype" w:hAnsi="Palatino Linotype" w:cs="Arial"/>
          <w:b/>
          <w:bCs/>
          <w:spacing w:val="-20"/>
        </w:rPr>
        <w:t xml:space="preserve"> 00503/ISSEMYM/IP/2018</w:t>
      </w:r>
      <w:r w:rsidRPr="00AE2201">
        <w:rPr>
          <w:rFonts w:ascii="Palatino Linotype" w:hAnsi="Palatino Linotype" w:cs="Arial"/>
          <w:b/>
          <w:bCs/>
        </w:rPr>
        <w:t>,</w:t>
      </w:r>
      <w:r w:rsidRPr="00AE2201">
        <w:rPr>
          <w:rFonts w:ascii="Palatino Linotype" w:hAnsi="Palatino Linotype" w:cs="Arial"/>
          <w:color w:val="000000" w:themeColor="text1"/>
        </w:rPr>
        <w:t xml:space="preserve"> en términos del </w:t>
      </w:r>
      <w:r w:rsidRPr="00AE2201">
        <w:rPr>
          <w:rFonts w:ascii="Palatino Linotype" w:hAnsi="Palatino Linotype" w:cs="Arial"/>
          <w:color w:val="000000" w:themeColor="text1"/>
        </w:rPr>
        <w:lastRenderedPageBreak/>
        <w:t xml:space="preserve">Considerando </w:t>
      </w:r>
      <w:r w:rsidRPr="00AE2201">
        <w:rPr>
          <w:rFonts w:ascii="Palatino Linotype" w:hAnsi="Palatino Linotype" w:cs="Arial"/>
          <w:b/>
          <w:color w:val="000000" w:themeColor="text1"/>
        </w:rPr>
        <w:t xml:space="preserve">SEXTO, </w:t>
      </w:r>
      <w:r w:rsidRPr="00AE2201">
        <w:rPr>
          <w:rFonts w:ascii="Palatino Linotype" w:hAnsi="Palatino Linotype" w:cs="Arial"/>
        </w:rPr>
        <w:t xml:space="preserve">de la presente resolución, y se le </w:t>
      </w:r>
      <w:r w:rsidRPr="00AE2201">
        <w:rPr>
          <w:rFonts w:ascii="Palatino Linotype" w:hAnsi="Palatino Linotype" w:cs="Arial"/>
          <w:b/>
        </w:rPr>
        <w:t xml:space="preserve">ordena </w:t>
      </w:r>
      <w:r w:rsidRPr="00AE2201">
        <w:rPr>
          <w:rFonts w:ascii="Palatino Linotype" w:hAnsi="Palatino Linotype" w:cs="Arial"/>
        </w:rPr>
        <w:t xml:space="preserve">entregue al </w:t>
      </w:r>
      <w:r w:rsidRPr="00AE2201">
        <w:rPr>
          <w:rFonts w:ascii="Palatino Linotype" w:hAnsi="Palatino Linotype" w:cs="Arial"/>
          <w:b/>
        </w:rPr>
        <w:t>RECURRENTE</w:t>
      </w:r>
      <w:r w:rsidRPr="00AE2201">
        <w:rPr>
          <w:rFonts w:ascii="Palatino Linotype" w:hAnsi="Palatino Linotype" w:cs="Arial"/>
        </w:rPr>
        <w:t xml:space="preserve">, vía el </w:t>
      </w:r>
      <w:r w:rsidRPr="00AE2201">
        <w:rPr>
          <w:rFonts w:ascii="Palatino Linotype" w:hAnsi="Palatino Linotype" w:cs="Arial"/>
          <w:b/>
        </w:rPr>
        <w:t>SAIMEX</w:t>
      </w:r>
      <w:r w:rsidRPr="00AE2201">
        <w:rPr>
          <w:rFonts w:ascii="Palatino Linotype" w:hAnsi="Palatino Linotype" w:cs="Arial"/>
        </w:rPr>
        <w:t>, de lo siguiente:</w:t>
      </w:r>
    </w:p>
    <w:p w:rsidR="00A46E1F" w:rsidRPr="00AE2201" w:rsidRDefault="00A46E1F" w:rsidP="004F3249">
      <w:pPr>
        <w:spacing w:before="120" w:after="120"/>
        <w:ind w:left="851" w:right="709"/>
        <w:jc w:val="both"/>
        <w:rPr>
          <w:rFonts w:ascii="Palatino Linotype" w:eastAsia="Arial Unicode MS" w:hAnsi="Palatino Linotype" w:cs="Arial"/>
          <w:i/>
          <w:sz w:val="22"/>
          <w:szCs w:val="22"/>
        </w:rPr>
      </w:pPr>
      <w:r w:rsidRPr="00AE2201">
        <w:rPr>
          <w:rFonts w:ascii="Palatino Linotype" w:eastAsia="Arial Unicode MS" w:hAnsi="Palatino Linotype" w:cs="Arial"/>
          <w:i/>
          <w:sz w:val="22"/>
          <w:szCs w:val="22"/>
        </w:rPr>
        <w:t xml:space="preserve">“Los requerimientos de pago realizados por el Instituto de Seguridad Social del Estado de México y Municipios a la Universidad Autónoma del Estado de México del 1 de enero de 2015 al 27 de agosto de </w:t>
      </w:r>
      <w:r w:rsidR="004F3249" w:rsidRPr="00AE2201">
        <w:rPr>
          <w:rFonts w:ascii="Palatino Linotype" w:eastAsia="Arial Unicode MS" w:hAnsi="Palatino Linotype" w:cs="Arial"/>
          <w:i/>
          <w:sz w:val="22"/>
          <w:szCs w:val="22"/>
        </w:rPr>
        <w:t>2018</w:t>
      </w:r>
      <w:r w:rsidRPr="00AE2201">
        <w:rPr>
          <w:rFonts w:ascii="Palatino Linotype" w:hAnsi="Palatino Linotype" w:cs="Arial"/>
          <w:i/>
          <w:color w:val="000000" w:themeColor="text1"/>
          <w:sz w:val="22"/>
          <w:szCs w:val="22"/>
        </w:rPr>
        <w:t>.</w:t>
      </w:r>
      <w:r w:rsidRPr="00AE2201">
        <w:rPr>
          <w:rFonts w:ascii="Palatino Linotype" w:hAnsi="Palatino Linotype" w:cs="Arial"/>
          <w:i/>
          <w:sz w:val="22"/>
          <w:szCs w:val="22"/>
        </w:rPr>
        <w:t>”</w:t>
      </w:r>
    </w:p>
    <w:p w:rsidR="00A46E1F" w:rsidRPr="00AE2201" w:rsidRDefault="00A46E1F" w:rsidP="00A46E1F">
      <w:pPr>
        <w:spacing w:before="240" w:after="240" w:line="360" w:lineRule="auto"/>
        <w:jc w:val="both"/>
        <w:rPr>
          <w:color w:val="222222"/>
        </w:rPr>
      </w:pPr>
      <w:r w:rsidRPr="00AE2201">
        <w:rPr>
          <w:rFonts w:ascii="Palatino Linotype" w:hAnsi="Palatino Linotype"/>
          <w:b/>
          <w:bCs/>
          <w:color w:val="222222"/>
          <w:sz w:val="28"/>
          <w:szCs w:val="28"/>
          <w:shd w:val="clear" w:color="auto" w:fill="FFFFFF"/>
        </w:rPr>
        <w:t>TERCERO.</w:t>
      </w:r>
      <w:r w:rsidRPr="00AE2201">
        <w:rPr>
          <w:rFonts w:ascii="Palatino Linotype" w:hAnsi="Palatino Linotype"/>
          <w:b/>
          <w:bCs/>
          <w:color w:val="222222"/>
          <w:shd w:val="clear" w:color="auto" w:fill="FFFFFF"/>
        </w:rPr>
        <w:t> </w:t>
      </w:r>
      <w:r w:rsidRPr="00AE2201">
        <w:rPr>
          <w:rFonts w:ascii="Palatino Linotype" w:hAnsi="Palatino Linotype"/>
          <w:b/>
          <w:bCs/>
          <w:color w:val="222222"/>
        </w:rPr>
        <w:t>Notifíquese</w:t>
      </w:r>
      <w:r w:rsidRPr="00AE2201">
        <w:rPr>
          <w:rFonts w:ascii="Palatino Linotype" w:hAnsi="Palatino Linotype"/>
          <w:color w:val="222222"/>
        </w:rPr>
        <w:t> </w:t>
      </w:r>
      <w:r w:rsidRPr="00AE2201">
        <w:rPr>
          <w:rFonts w:ascii="Palatino Linotype" w:hAnsi="Palatino Linotype"/>
          <w:color w:val="222222"/>
          <w:shd w:val="clear" w:color="auto" w:fill="FFFFFF"/>
        </w:rPr>
        <w:t>al Titular de la Unidad de Transparencia del</w:t>
      </w:r>
      <w:r w:rsidRPr="00AE2201">
        <w:rPr>
          <w:rFonts w:ascii="Palatino Linotype" w:hAnsi="Palatino Linotype"/>
          <w:b/>
          <w:bCs/>
          <w:color w:val="222222"/>
          <w:shd w:val="clear" w:color="auto" w:fill="FFFFFF"/>
        </w:rPr>
        <w:t> SUJETO OBLIGADO</w:t>
      </w:r>
      <w:r w:rsidRPr="00AE2201">
        <w:rPr>
          <w:rFonts w:ascii="Palatino Linotype" w:hAnsi="Palatino Linotype"/>
          <w:color w:val="222222"/>
          <w:shd w:val="clear" w:color="auto" w:fill="FFFFFF"/>
        </w:rPr>
        <w:t>, para que conforme a los artículos 186 último párrafo y 189 párrafo segundo de la Ley de Transparencia y Acceso a la Información Pública del Estado de México y Municipios, dé cumplimiento a lo ordenado dentro del plazo de diez días hábiles, debiendo informar a este Instituto en un plazo </w:t>
      </w:r>
      <w:r w:rsidRPr="00AE2201">
        <w:rPr>
          <w:rFonts w:ascii="Palatino Linotype" w:hAnsi="Palatino Linotype"/>
          <w:color w:val="222222"/>
        </w:rPr>
        <w:t>de</w:t>
      </w:r>
      <w:r w:rsidRPr="00AE2201">
        <w:rPr>
          <w:rFonts w:ascii="Palatino Linotype" w:hAnsi="Palatino Linotype"/>
          <w:color w:val="222222"/>
          <w:shd w:val="clear" w:color="auto" w:fill="FFFFFF"/>
        </w:rPr>
        <w:t> tres días hábiles siguientes sobre el cumplimiento dado a la presente resolución.</w:t>
      </w:r>
    </w:p>
    <w:p w:rsidR="00A46E1F" w:rsidRPr="00AE2201" w:rsidRDefault="00A46E1F" w:rsidP="00A46E1F">
      <w:pPr>
        <w:spacing w:before="240" w:after="240" w:line="360" w:lineRule="auto"/>
        <w:ind w:right="49"/>
        <w:jc w:val="both"/>
        <w:rPr>
          <w:color w:val="222222"/>
        </w:rPr>
      </w:pPr>
      <w:r w:rsidRPr="00AE2201">
        <w:rPr>
          <w:rFonts w:ascii="Palatino Linotype" w:hAnsi="Palatino Linotype"/>
          <w:b/>
          <w:bCs/>
          <w:color w:val="222222"/>
          <w:sz w:val="28"/>
          <w:szCs w:val="28"/>
        </w:rPr>
        <w:t>CUARTO. </w:t>
      </w:r>
      <w:r w:rsidRPr="00AE2201">
        <w:rPr>
          <w:rFonts w:ascii="Palatino Linotype" w:hAnsi="Palatino Linotype"/>
          <w:b/>
          <w:bCs/>
          <w:color w:val="222222"/>
        </w:rPr>
        <w:t>Notifíquese</w:t>
      </w:r>
      <w:r w:rsidRPr="00AE2201">
        <w:rPr>
          <w:rFonts w:ascii="Palatino Linotype" w:hAnsi="Palatino Linotype"/>
          <w:color w:val="222222"/>
        </w:rPr>
        <w:t xml:space="preserve"> al </w:t>
      </w:r>
      <w:r w:rsidRPr="00AE2201">
        <w:rPr>
          <w:rFonts w:ascii="Palatino Linotype" w:hAnsi="Palatino Linotype"/>
          <w:b/>
          <w:bCs/>
          <w:color w:val="222222"/>
        </w:rPr>
        <w:t>RECURRENTE</w:t>
      </w:r>
      <w:r w:rsidRPr="00AE2201">
        <w:rPr>
          <w:rFonts w:ascii="Palatino Linotype" w:hAnsi="Palatino Linotype"/>
          <w:color w:val="222222"/>
        </w:rPr>
        <w:t> la presente resolución.</w:t>
      </w:r>
    </w:p>
    <w:p w:rsidR="00A46E1F" w:rsidRPr="00EA75AE" w:rsidRDefault="00A46E1F" w:rsidP="00A46E1F">
      <w:pPr>
        <w:spacing w:before="240" w:after="240" w:line="360" w:lineRule="auto"/>
        <w:ind w:right="49"/>
        <w:jc w:val="both"/>
        <w:rPr>
          <w:rFonts w:ascii="Palatino Linotype" w:hAnsi="Palatino Linotype"/>
          <w:color w:val="222222"/>
        </w:rPr>
      </w:pPr>
      <w:r w:rsidRPr="00AE2201">
        <w:rPr>
          <w:rFonts w:ascii="Palatino Linotype" w:hAnsi="Palatino Linotype"/>
          <w:b/>
          <w:bCs/>
          <w:color w:val="222222"/>
          <w:sz w:val="28"/>
          <w:szCs w:val="28"/>
        </w:rPr>
        <w:t>QUINTO.</w:t>
      </w:r>
      <w:r w:rsidRPr="00AE2201">
        <w:rPr>
          <w:rFonts w:ascii="Palatino Linotype" w:hAnsi="Palatino Linotype"/>
          <w:color w:val="222222"/>
        </w:rPr>
        <w:t> </w:t>
      </w:r>
      <w:r w:rsidRPr="00AE2201">
        <w:rPr>
          <w:rFonts w:ascii="Palatino Linotype" w:hAnsi="Palatino Linotype"/>
          <w:b/>
          <w:bCs/>
          <w:color w:val="222222"/>
        </w:rPr>
        <w:t>Hágase del conocimiento</w:t>
      </w:r>
      <w:r w:rsidRPr="00AE2201">
        <w:rPr>
          <w:rFonts w:ascii="Palatino Linotype" w:hAnsi="Palatino Linotype"/>
          <w:color w:val="222222"/>
        </w:rPr>
        <w:t xml:space="preserve"> al </w:t>
      </w:r>
      <w:r w:rsidRPr="00AE2201">
        <w:rPr>
          <w:rFonts w:ascii="Palatino Linotype" w:hAnsi="Palatino Linotype"/>
          <w:b/>
          <w:bCs/>
          <w:color w:val="222222"/>
        </w:rPr>
        <w:t>RECURRENTE</w:t>
      </w:r>
      <w:r w:rsidRPr="00AE2201">
        <w:rPr>
          <w:rFonts w:ascii="Palatino Linotype" w:hAnsi="Palatino Linotype"/>
          <w:color w:val="222222"/>
        </w:rPr>
        <w:t> que de conformidad con lo establecido en el artículo 196 de la Ley de Transparencia y Acceso a la Información Pública del Estado de México y Municipios, podrá impugnarla vía Juicio de Amparo en los términos de las leyes aplicables.</w:t>
      </w:r>
    </w:p>
    <w:p w:rsidR="00A46E1F" w:rsidRPr="00120510" w:rsidRDefault="00A46E1F" w:rsidP="00A46E1F">
      <w:pPr>
        <w:spacing w:before="100" w:beforeAutospacing="1" w:after="100" w:afterAutospacing="1" w:line="360" w:lineRule="auto"/>
        <w:ind w:right="49"/>
        <w:jc w:val="both"/>
        <w:rPr>
          <w:rFonts w:ascii="Palatino Linotype" w:hAnsi="Palatino Linotype" w:cs="Arial"/>
        </w:rPr>
      </w:pPr>
      <w:r w:rsidRPr="00120510">
        <w:rPr>
          <w:rFonts w:ascii="Palatino Linotype" w:hAnsi="Palatino Linotype" w:cs="Arial"/>
        </w:rPr>
        <w:t xml:space="preserve">ASÍ LO RESUELVE, </w:t>
      </w:r>
      <w:r w:rsidRPr="00A1327C">
        <w:rPr>
          <w:rFonts w:ascii="Palatino Linotype" w:hAnsi="Palatino Linotype" w:cs="Arial"/>
        </w:rPr>
        <w:t>POR UNANIMIDAD DE VOTOS, EL PLENO DEL</w:t>
      </w:r>
      <w:r w:rsidRPr="00A1327C">
        <w:rPr>
          <w:rFonts w:ascii="Palatino Linotype" w:eastAsia="Arial Unicode MS" w:hAnsi="Palatino Linotype" w:cs="Arial"/>
        </w:rPr>
        <w:t xml:space="preserve"> INSTITUTO DE TRANSPARENCIA, ACCESO A LA INFORMACIÓN PÚBLICA Y PROTECCIÓN DE DATOS PERSONALES DEL ESTADO DE MÉXICO Y MUNICIPIOS</w:t>
      </w:r>
      <w:r w:rsidRPr="00A1327C">
        <w:rPr>
          <w:rFonts w:ascii="Palatino Linotype" w:hAnsi="Palatino Linotype" w:cs="Arial"/>
        </w:rPr>
        <w:t xml:space="preserve">, CONFORMADO POR LOS COMISIONADOS ZULEMA MARTÍNEZ SÁNCHEZ; EVA ABAID YAPUR; JOSÉ GUADALUPE LUNA HERNÁNDEZ; JAVIER </w:t>
      </w:r>
      <w:r w:rsidRPr="00A1327C">
        <w:rPr>
          <w:rFonts w:ascii="Palatino Linotype" w:hAnsi="Palatino Linotype" w:cs="Arial"/>
        </w:rPr>
        <w:lastRenderedPageBreak/>
        <w:t xml:space="preserve">MARTÍNEZ CRUZ Y LUIS GUSTAVO PARRA NORIEGA; EN LA CUADRAGÉSIMA QUINTA SESIÓN ORDINARIA CELEBRADA EL </w:t>
      </w:r>
      <w:r w:rsidR="00A1327C">
        <w:rPr>
          <w:rFonts w:ascii="Palatino Linotype" w:hAnsi="Palatino Linotype" w:cs="Arial"/>
        </w:rPr>
        <w:t>SEIS</w:t>
      </w:r>
      <w:r w:rsidRPr="00A1327C">
        <w:rPr>
          <w:rFonts w:ascii="Palatino Linotype" w:hAnsi="Palatino Linotype" w:cs="Arial"/>
        </w:rPr>
        <w:t xml:space="preserve"> DE DICIEMBRE DE DOS MIL DIECIOCHO, ANTE EL SECRETARIO TÉCNICO DEL PLENO, </w:t>
      </w:r>
      <w:r w:rsidRPr="00A1327C">
        <w:rPr>
          <w:rFonts w:ascii="Palatino Linotype" w:hAnsi="Palatino Linotype"/>
          <w:lang w:val="es-ES_tradnl"/>
        </w:rPr>
        <w:t>ALEXIS TAPIA RAMÍREZ</w:t>
      </w:r>
      <w:r w:rsidRPr="00A1327C">
        <w:rPr>
          <w:rFonts w:ascii="Palatino Linotype" w:hAnsi="Palatino Linotype" w:cs="Arial"/>
        </w:rPr>
        <w:t>.</w:t>
      </w:r>
    </w:p>
    <w:tbl>
      <w:tblPr>
        <w:tblW w:w="10368" w:type="dxa"/>
        <w:jc w:val="center"/>
        <w:tblLayout w:type="fixed"/>
        <w:tblLook w:val="04A0" w:firstRow="1" w:lastRow="0" w:firstColumn="1" w:lastColumn="0" w:noHBand="0" w:noVBand="1"/>
      </w:tblPr>
      <w:tblGrid>
        <w:gridCol w:w="5184"/>
        <w:gridCol w:w="5184"/>
      </w:tblGrid>
      <w:tr w:rsidR="00A46E1F" w:rsidRPr="00120510" w:rsidTr="001D0D68">
        <w:trPr>
          <w:jc w:val="center"/>
        </w:trPr>
        <w:tc>
          <w:tcPr>
            <w:tcW w:w="10368" w:type="dxa"/>
            <w:gridSpan w:val="2"/>
          </w:tcPr>
          <w:p w:rsidR="00A46E1F" w:rsidRDefault="00A46E1F" w:rsidP="001D0D68">
            <w:pPr>
              <w:jc w:val="center"/>
              <w:rPr>
                <w:rFonts w:ascii="Palatino Linotype" w:hAnsi="Palatino Linotype" w:cs="Arial"/>
                <w:b/>
                <w:lang w:val="es-ES_tradnl"/>
              </w:rPr>
            </w:pPr>
          </w:p>
          <w:p w:rsidR="00A46E1F" w:rsidRPr="00120510" w:rsidRDefault="00A46E1F" w:rsidP="001D0D68">
            <w:pPr>
              <w:jc w:val="center"/>
              <w:rPr>
                <w:rFonts w:ascii="Palatino Linotype" w:hAnsi="Palatino Linotype" w:cs="Arial"/>
                <w:b/>
                <w:lang w:val="es-ES_tradnl"/>
              </w:rPr>
            </w:pPr>
            <w:r w:rsidRPr="00120510">
              <w:rPr>
                <w:rFonts w:ascii="Palatino Linotype" w:hAnsi="Palatino Linotype" w:cs="Arial"/>
                <w:b/>
                <w:lang w:val="es-ES_tradnl"/>
              </w:rPr>
              <w:t>Zulema Martínez Sánchez</w:t>
            </w:r>
          </w:p>
          <w:p w:rsidR="00A46E1F" w:rsidRPr="00120510" w:rsidRDefault="00A46E1F" w:rsidP="001D0D68">
            <w:pPr>
              <w:jc w:val="center"/>
              <w:rPr>
                <w:rFonts w:ascii="Palatino Linotype" w:hAnsi="Palatino Linotype" w:cs="Arial"/>
                <w:b/>
                <w:lang w:val="es-ES_tradnl"/>
              </w:rPr>
            </w:pPr>
            <w:r w:rsidRPr="00120510">
              <w:rPr>
                <w:rFonts w:ascii="Palatino Linotype" w:hAnsi="Palatino Linotype" w:cs="Arial"/>
                <w:lang w:val="es-ES_tradnl"/>
              </w:rPr>
              <w:t>Comisionada Presidenta</w:t>
            </w:r>
          </w:p>
          <w:p w:rsidR="00A46E1F" w:rsidRPr="00120510" w:rsidRDefault="00A46E1F" w:rsidP="001D0D68">
            <w:pPr>
              <w:jc w:val="center"/>
              <w:rPr>
                <w:rFonts w:ascii="Palatino Linotype" w:hAnsi="Palatino Linotype" w:cs="Arial"/>
                <w:b/>
                <w:lang w:val="es-ES_tradnl"/>
              </w:rPr>
            </w:pPr>
            <w:r w:rsidRPr="00051000">
              <w:rPr>
                <w:rFonts w:ascii="Palatino Linotype" w:hAnsi="Palatino Linotype" w:cs="Arial"/>
                <w:b/>
                <w:color w:val="FFFFFF" w:themeColor="background1"/>
                <w:lang w:val="es-ES_tradnl"/>
              </w:rPr>
              <w:t xml:space="preserve">(RÚBRICA) </w:t>
            </w:r>
          </w:p>
        </w:tc>
      </w:tr>
      <w:tr w:rsidR="00A46E1F" w:rsidRPr="00120510" w:rsidTr="001D0D68">
        <w:trPr>
          <w:jc w:val="center"/>
        </w:trPr>
        <w:tc>
          <w:tcPr>
            <w:tcW w:w="5184" w:type="dxa"/>
          </w:tcPr>
          <w:p w:rsidR="00A46E1F" w:rsidRDefault="00A46E1F" w:rsidP="001D0D68">
            <w:pPr>
              <w:jc w:val="center"/>
              <w:rPr>
                <w:rFonts w:ascii="Palatino Linotype" w:hAnsi="Palatino Linotype" w:cs="Arial"/>
                <w:b/>
                <w:lang w:val="es-ES_tradnl"/>
              </w:rPr>
            </w:pPr>
          </w:p>
          <w:p w:rsidR="00A46E1F" w:rsidRPr="00120510" w:rsidRDefault="00A46E1F" w:rsidP="001D0D68">
            <w:pPr>
              <w:jc w:val="center"/>
              <w:rPr>
                <w:rFonts w:ascii="Palatino Linotype" w:hAnsi="Palatino Linotype" w:cs="Arial"/>
                <w:b/>
                <w:lang w:val="es-ES_tradnl"/>
              </w:rPr>
            </w:pPr>
            <w:r w:rsidRPr="00120510">
              <w:rPr>
                <w:rFonts w:ascii="Palatino Linotype" w:hAnsi="Palatino Linotype" w:cs="Arial"/>
                <w:b/>
                <w:lang w:val="es-ES_tradnl"/>
              </w:rPr>
              <w:t>Eva Abaid Yapur</w:t>
            </w:r>
          </w:p>
          <w:p w:rsidR="00A46E1F" w:rsidRPr="00120510" w:rsidRDefault="00A46E1F" w:rsidP="001D0D68">
            <w:pPr>
              <w:jc w:val="center"/>
              <w:rPr>
                <w:rFonts w:ascii="Palatino Linotype" w:hAnsi="Palatino Linotype" w:cs="Arial"/>
                <w:lang w:val="es-ES_tradnl"/>
              </w:rPr>
            </w:pPr>
            <w:r w:rsidRPr="00120510">
              <w:rPr>
                <w:rFonts w:ascii="Palatino Linotype" w:hAnsi="Palatino Linotype" w:cs="Arial"/>
                <w:lang w:val="es-ES_tradnl"/>
              </w:rPr>
              <w:t>Comisionada</w:t>
            </w:r>
          </w:p>
          <w:p w:rsidR="00A46E1F" w:rsidRPr="00120510" w:rsidRDefault="00A46E1F" w:rsidP="001D0D68">
            <w:pPr>
              <w:jc w:val="center"/>
              <w:rPr>
                <w:rFonts w:ascii="Palatino Linotype" w:hAnsi="Palatino Linotype" w:cs="Arial"/>
                <w:b/>
                <w:lang w:val="es-ES_tradnl"/>
              </w:rPr>
            </w:pPr>
            <w:r w:rsidRPr="00051000">
              <w:rPr>
                <w:rFonts w:ascii="Palatino Linotype" w:hAnsi="Palatino Linotype" w:cs="Arial"/>
                <w:b/>
                <w:color w:val="FFFFFF" w:themeColor="background1"/>
                <w:lang w:val="es-ES_tradnl"/>
              </w:rPr>
              <w:t>(RÚBRICA)</w:t>
            </w:r>
          </w:p>
        </w:tc>
        <w:tc>
          <w:tcPr>
            <w:tcW w:w="5184" w:type="dxa"/>
          </w:tcPr>
          <w:p w:rsidR="00A46E1F" w:rsidRDefault="00A46E1F" w:rsidP="001D0D68">
            <w:pPr>
              <w:jc w:val="center"/>
              <w:rPr>
                <w:rFonts w:ascii="Palatino Linotype" w:hAnsi="Palatino Linotype" w:cs="Arial"/>
                <w:b/>
                <w:lang w:val="es-ES_tradnl"/>
              </w:rPr>
            </w:pPr>
          </w:p>
          <w:p w:rsidR="00A46E1F" w:rsidRPr="00120510" w:rsidRDefault="00A46E1F" w:rsidP="001D0D68">
            <w:pPr>
              <w:jc w:val="center"/>
              <w:rPr>
                <w:rFonts w:ascii="Palatino Linotype" w:hAnsi="Palatino Linotype" w:cs="Arial"/>
                <w:b/>
                <w:lang w:val="es-ES_tradnl"/>
              </w:rPr>
            </w:pPr>
            <w:r w:rsidRPr="00120510">
              <w:rPr>
                <w:rFonts w:ascii="Palatino Linotype" w:hAnsi="Palatino Linotype" w:cs="Arial"/>
                <w:b/>
                <w:lang w:val="es-ES_tradnl"/>
              </w:rPr>
              <w:t>José Guadalupe Luna Hernández</w:t>
            </w:r>
          </w:p>
          <w:p w:rsidR="00A46E1F" w:rsidRPr="00120510" w:rsidRDefault="00A46E1F" w:rsidP="001D0D68">
            <w:pPr>
              <w:jc w:val="center"/>
              <w:rPr>
                <w:rFonts w:ascii="Palatino Linotype" w:hAnsi="Palatino Linotype" w:cs="Arial"/>
                <w:lang w:val="es-ES_tradnl"/>
              </w:rPr>
            </w:pPr>
            <w:r w:rsidRPr="00120510">
              <w:rPr>
                <w:rFonts w:ascii="Palatino Linotype" w:hAnsi="Palatino Linotype" w:cs="Arial"/>
                <w:lang w:val="es-ES_tradnl"/>
              </w:rPr>
              <w:t>Comisionado</w:t>
            </w:r>
          </w:p>
          <w:p w:rsidR="00A46E1F" w:rsidRPr="00120510" w:rsidRDefault="00A46E1F" w:rsidP="001D0D68">
            <w:pPr>
              <w:jc w:val="center"/>
              <w:rPr>
                <w:rFonts w:ascii="Palatino Linotype" w:hAnsi="Palatino Linotype" w:cs="Arial"/>
                <w:b/>
                <w:lang w:val="es-ES_tradnl"/>
              </w:rPr>
            </w:pPr>
            <w:r w:rsidRPr="00051000">
              <w:rPr>
                <w:rFonts w:ascii="Palatino Linotype" w:hAnsi="Palatino Linotype" w:cs="Arial"/>
                <w:b/>
                <w:color w:val="FFFFFF" w:themeColor="background1"/>
                <w:lang w:val="es-ES_tradnl"/>
              </w:rPr>
              <w:t>(RÚBRICA)</w:t>
            </w:r>
          </w:p>
        </w:tc>
      </w:tr>
      <w:tr w:rsidR="00A46E1F" w:rsidRPr="00120510" w:rsidTr="001D0D68">
        <w:trPr>
          <w:jc w:val="center"/>
        </w:trPr>
        <w:tc>
          <w:tcPr>
            <w:tcW w:w="5184" w:type="dxa"/>
          </w:tcPr>
          <w:p w:rsidR="00A46E1F" w:rsidRDefault="00A46E1F" w:rsidP="001D0D68">
            <w:pPr>
              <w:jc w:val="center"/>
              <w:rPr>
                <w:rFonts w:ascii="Palatino Linotype" w:hAnsi="Palatino Linotype" w:cs="Arial"/>
                <w:b/>
                <w:lang w:val="es-ES_tradnl"/>
              </w:rPr>
            </w:pPr>
          </w:p>
          <w:p w:rsidR="00A46E1F" w:rsidRDefault="00A46E1F" w:rsidP="001D0D68">
            <w:pPr>
              <w:jc w:val="center"/>
              <w:rPr>
                <w:rFonts w:ascii="Palatino Linotype" w:hAnsi="Palatino Linotype" w:cs="Arial"/>
                <w:b/>
                <w:lang w:val="es-ES_tradnl"/>
              </w:rPr>
            </w:pPr>
          </w:p>
          <w:p w:rsidR="00A46E1F" w:rsidRDefault="00A46E1F" w:rsidP="001D0D68">
            <w:pPr>
              <w:jc w:val="center"/>
              <w:rPr>
                <w:rFonts w:ascii="Palatino Linotype" w:hAnsi="Palatino Linotype" w:cs="Arial"/>
                <w:b/>
                <w:lang w:val="es-ES_tradnl"/>
              </w:rPr>
            </w:pPr>
          </w:p>
          <w:p w:rsidR="00A46E1F" w:rsidRPr="00120510" w:rsidRDefault="00A46E1F" w:rsidP="001D0D68">
            <w:pPr>
              <w:jc w:val="center"/>
              <w:rPr>
                <w:rFonts w:ascii="Palatino Linotype" w:hAnsi="Palatino Linotype" w:cs="Arial"/>
                <w:b/>
                <w:lang w:val="es-ES_tradnl"/>
              </w:rPr>
            </w:pPr>
          </w:p>
          <w:p w:rsidR="00A46E1F" w:rsidRPr="00120510" w:rsidRDefault="00A46E1F" w:rsidP="001D0D68">
            <w:pPr>
              <w:jc w:val="center"/>
              <w:rPr>
                <w:rFonts w:ascii="Palatino Linotype" w:hAnsi="Palatino Linotype" w:cs="Arial"/>
                <w:b/>
                <w:lang w:val="es-ES_tradnl"/>
              </w:rPr>
            </w:pPr>
            <w:r w:rsidRPr="00120510">
              <w:rPr>
                <w:rFonts w:ascii="Palatino Linotype" w:hAnsi="Palatino Linotype" w:cs="Arial"/>
                <w:b/>
                <w:lang w:val="es-ES_tradnl"/>
              </w:rPr>
              <w:t>Javier Martínez Cruz</w:t>
            </w:r>
          </w:p>
          <w:p w:rsidR="00A46E1F" w:rsidRPr="00120510" w:rsidRDefault="00A46E1F" w:rsidP="001D0D68">
            <w:pPr>
              <w:jc w:val="center"/>
              <w:rPr>
                <w:rFonts w:ascii="Palatino Linotype" w:hAnsi="Palatino Linotype" w:cs="Arial"/>
                <w:lang w:val="es-ES_tradnl"/>
              </w:rPr>
            </w:pPr>
            <w:r w:rsidRPr="00120510">
              <w:rPr>
                <w:rFonts w:ascii="Palatino Linotype" w:hAnsi="Palatino Linotype" w:cs="Arial"/>
                <w:lang w:val="es-ES_tradnl"/>
              </w:rPr>
              <w:t>Comisionado</w:t>
            </w:r>
          </w:p>
          <w:p w:rsidR="00A46E1F" w:rsidRPr="00120510" w:rsidRDefault="00A46E1F" w:rsidP="001D0D68">
            <w:pPr>
              <w:jc w:val="center"/>
              <w:rPr>
                <w:rFonts w:ascii="Palatino Linotype" w:hAnsi="Palatino Linotype" w:cs="Arial"/>
                <w:b/>
                <w:lang w:val="es-ES_tradnl"/>
              </w:rPr>
            </w:pPr>
            <w:r w:rsidRPr="00051000">
              <w:rPr>
                <w:rFonts w:ascii="Palatino Linotype" w:hAnsi="Palatino Linotype" w:cs="Arial"/>
                <w:b/>
                <w:color w:val="FFFFFF" w:themeColor="background1"/>
                <w:lang w:val="es-ES_tradnl"/>
              </w:rPr>
              <w:t>(RÚBRICA)</w:t>
            </w:r>
          </w:p>
        </w:tc>
        <w:tc>
          <w:tcPr>
            <w:tcW w:w="5184" w:type="dxa"/>
          </w:tcPr>
          <w:p w:rsidR="00A46E1F" w:rsidRDefault="00A46E1F" w:rsidP="001D0D68">
            <w:pPr>
              <w:jc w:val="center"/>
              <w:rPr>
                <w:rFonts w:ascii="Palatino Linotype" w:hAnsi="Palatino Linotype" w:cs="Arial"/>
                <w:b/>
                <w:lang w:val="es-ES_tradnl"/>
              </w:rPr>
            </w:pPr>
          </w:p>
          <w:p w:rsidR="00A46E1F" w:rsidRPr="00120510" w:rsidRDefault="00A46E1F" w:rsidP="001D0D68">
            <w:pPr>
              <w:jc w:val="center"/>
              <w:rPr>
                <w:rFonts w:ascii="Palatino Linotype" w:hAnsi="Palatino Linotype" w:cs="Arial"/>
                <w:b/>
                <w:lang w:val="es-ES_tradnl"/>
              </w:rPr>
            </w:pPr>
          </w:p>
          <w:p w:rsidR="00A46E1F" w:rsidRDefault="00A46E1F" w:rsidP="001D0D68">
            <w:pPr>
              <w:jc w:val="center"/>
              <w:rPr>
                <w:rFonts w:ascii="Palatino Linotype" w:hAnsi="Palatino Linotype" w:cs="Arial"/>
                <w:b/>
                <w:lang w:val="es-ES_tradnl"/>
              </w:rPr>
            </w:pPr>
          </w:p>
          <w:p w:rsidR="00A46E1F" w:rsidRPr="00120510" w:rsidRDefault="00A46E1F" w:rsidP="001D0D68">
            <w:pPr>
              <w:jc w:val="center"/>
              <w:rPr>
                <w:rFonts w:ascii="Palatino Linotype" w:hAnsi="Palatino Linotype" w:cs="Arial"/>
                <w:b/>
                <w:lang w:val="es-ES_tradnl"/>
              </w:rPr>
            </w:pPr>
          </w:p>
          <w:p w:rsidR="00A46E1F" w:rsidRPr="00120510" w:rsidRDefault="00A46E1F" w:rsidP="001D0D68">
            <w:pPr>
              <w:jc w:val="center"/>
              <w:rPr>
                <w:rFonts w:ascii="Palatino Linotype" w:hAnsi="Palatino Linotype" w:cs="Arial"/>
                <w:b/>
                <w:lang w:val="es-ES_tradnl"/>
              </w:rPr>
            </w:pPr>
            <w:r w:rsidRPr="00120510">
              <w:rPr>
                <w:rFonts w:ascii="Palatino Linotype" w:hAnsi="Palatino Linotype" w:cs="Arial"/>
                <w:b/>
                <w:lang w:val="es-ES_tradnl"/>
              </w:rPr>
              <w:t>Luis Gustavo Parra Noriega</w:t>
            </w:r>
          </w:p>
          <w:p w:rsidR="00A46E1F" w:rsidRPr="00120510" w:rsidRDefault="00A46E1F" w:rsidP="001D0D68">
            <w:pPr>
              <w:jc w:val="center"/>
              <w:rPr>
                <w:rFonts w:ascii="Palatino Linotype" w:hAnsi="Palatino Linotype" w:cs="Arial"/>
                <w:lang w:val="es-ES_tradnl"/>
              </w:rPr>
            </w:pPr>
            <w:r w:rsidRPr="00120510">
              <w:rPr>
                <w:rFonts w:ascii="Palatino Linotype" w:hAnsi="Palatino Linotype" w:cs="Arial"/>
                <w:lang w:val="es-ES_tradnl"/>
              </w:rPr>
              <w:t>Comisionado</w:t>
            </w:r>
          </w:p>
          <w:p w:rsidR="00A46E1F" w:rsidRPr="00120510" w:rsidRDefault="00A46E1F" w:rsidP="001D0D68">
            <w:pPr>
              <w:jc w:val="center"/>
              <w:rPr>
                <w:rFonts w:ascii="Palatino Linotype" w:hAnsi="Palatino Linotype" w:cs="Arial"/>
                <w:b/>
                <w:lang w:val="es-ES_tradnl"/>
              </w:rPr>
            </w:pPr>
            <w:r w:rsidRPr="00051000">
              <w:rPr>
                <w:rFonts w:ascii="Palatino Linotype" w:hAnsi="Palatino Linotype" w:cs="Arial"/>
                <w:b/>
                <w:color w:val="FFFFFF" w:themeColor="background1"/>
                <w:lang w:val="es-ES_tradnl"/>
              </w:rPr>
              <w:t>(RÚBRICA)</w:t>
            </w:r>
          </w:p>
        </w:tc>
      </w:tr>
      <w:tr w:rsidR="00A46E1F" w:rsidRPr="00120510" w:rsidTr="001D0D68">
        <w:trPr>
          <w:jc w:val="center"/>
        </w:trPr>
        <w:tc>
          <w:tcPr>
            <w:tcW w:w="10368" w:type="dxa"/>
            <w:gridSpan w:val="2"/>
          </w:tcPr>
          <w:p w:rsidR="00A46E1F" w:rsidRDefault="00A46E1F" w:rsidP="001D0D68">
            <w:pPr>
              <w:jc w:val="center"/>
              <w:rPr>
                <w:rFonts w:ascii="Palatino Linotype" w:hAnsi="Palatino Linotype" w:cs="Arial"/>
                <w:b/>
                <w:lang w:val="es-ES_tradnl"/>
              </w:rPr>
            </w:pPr>
          </w:p>
          <w:p w:rsidR="00A46E1F" w:rsidRPr="00120510" w:rsidRDefault="00A46E1F" w:rsidP="001D0D68">
            <w:pPr>
              <w:jc w:val="center"/>
              <w:rPr>
                <w:rFonts w:ascii="Palatino Linotype" w:hAnsi="Palatino Linotype" w:cs="Arial"/>
                <w:b/>
                <w:lang w:val="es-ES_tradnl"/>
              </w:rPr>
            </w:pPr>
          </w:p>
          <w:p w:rsidR="00A46E1F" w:rsidRPr="00120510" w:rsidRDefault="00A46E1F" w:rsidP="001D0D68">
            <w:pPr>
              <w:jc w:val="center"/>
              <w:rPr>
                <w:rFonts w:ascii="Palatino Linotype" w:hAnsi="Palatino Linotype" w:cs="Arial"/>
                <w:b/>
                <w:lang w:val="es-ES_tradnl"/>
              </w:rPr>
            </w:pPr>
            <w:r w:rsidRPr="00120510">
              <w:rPr>
                <w:rFonts w:ascii="Palatino Linotype" w:hAnsi="Palatino Linotype" w:cs="Arial"/>
                <w:b/>
                <w:lang w:val="es-ES_tradnl"/>
              </w:rPr>
              <w:t>Alexis Tapia Ramírez</w:t>
            </w:r>
          </w:p>
          <w:p w:rsidR="00A46E1F" w:rsidRPr="00120510" w:rsidRDefault="00A46E1F" w:rsidP="001D0D68">
            <w:pPr>
              <w:jc w:val="center"/>
              <w:rPr>
                <w:rFonts w:ascii="Palatino Linotype" w:hAnsi="Palatino Linotype" w:cs="Arial"/>
                <w:lang w:val="es-ES_tradnl"/>
              </w:rPr>
            </w:pPr>
            <w:r w:rsidRPr="00120510">
              <w:rPr>
                <w:rFonts w:ascii="Palatino Linotype" w:hAnsi="Palatino Linotype" w:cs="Arial"/>
                <w:lang w:val="es-ES_tradnl"/>
              </w:rPr>
              <w:t>Secretario Técnico del Pleno</w:t>
            </w:r>
          </w:p>
          <w:p w:rsidR="00A46E1F" w:rsidRPr="00120510" w:rsidRDefault="00A46E1F" w:rsidP="001D0D68">
            <w:pPr>
              <w:jc w:val="center"/>
              <w:rPr>
                <w:rFonts w:ascii="Palatino Linotype" w:hAnsi="Palatino Linotype" w:cs="Arial"/>
                <w:lang w:val="es-ES_tradnl"/>
              </w:rPr>
            </w:pPr>
            <w:r w:rsidRPr="00051000">
              <w:rPr>
                <w:rFonts w:ascii="Palatino Linotype" w:hAnsi="Palatino Linotype" w:cs="Arial"/>
                <w:b/>
                <w:color w:val="FFFFFF" w:themeColor="background1"/>
                <w:lang w:val="es-ES_tradnl"/>
              </w:rPr>
              <w:t>(RÚBRICA)</w:t>
            </w:r>
          </w:p>
        </w:tc>
      </w:tr>
      <w:tr w:rsidR="00A46E1F" w:rsidRPr="00120510" w:rsidTr="001D0D68">
        <w:trPr>
          <w:jc w:val="center"/>
        </w:trPr>
        <w:tc>
          <w:tcPr>
            <w:tcW w:w="5184" w:type="dxa"/>
          </w:tcPr>
          <w:p w:rsidR="00A46E1F" w:rsidRPr="00120510" w:rsidRDefault="00A46E1F" w:rsidP="001D0D68">
            <w:pPr>
              <w:jc w:val="center"/>
              <w:rPr>
                <w:rFonts w:ascii="Palatino Linotype" w:hAnsi="Palatino Linotype" w:cs="Arial"/>
                <w:b/>
                <w:lang w:val="es-ES_tradnl"/>
              </w:rPr>
            </w:pPr>
          </w:p>
        </w:tc>
        <w:tc>
          <w:tcPr>
            <w:tcW w:w="5184" w:type="dxa"/>
          </w:tcPr>
          <w:p w:rsidR="00A46E1F" w:rsidRPr="00120510" w:rsidRDefault="00A46E1F" w:rsidP="001D0D68">
            <w:pPr>
              <w:jc w:val="center"/>
              <w:rPr>
                <w:rFonts w:ascii="Palatino Linotype" w:hAnsi="Palatino Linotype" w:cs="Arial"/>
                <w:b/>
                <w:lang w:val="es-ES_tradnl"/>
              </w:rPr>
            </w:pPr>
          </w:p>
        </w:tc>
      </w:tr>
    </w:tbl>
    <w:p w:rsidR="00AE2201" w:rsidRDefault="00A46E1F" w:rsidP="00AE2201">
      <w:pPr>
        <w:spacing w:before="100" w:beforeAutospacing="1" w:after="100" w:afterAutospacing="1"/>
        <w:jc w:val="both"/>
        <w:rPr>
          <w:rFonts w:ascii="Palatino Linotype" w:hAnsi="Palatino Linotype"/>
          <w:sz w:val="18"/>
          <w:szCs w:val="18"/>
          <w:lang w:val="es-ES_tradnl"/>
        </w:rPr>
      </w:pPr>
      <w:r w:rsidRPr="00E96079">
        <w:rPr>
          <w:rFonts w:ascii="Palatino Linotype" w:hAnsi="Palatino Linotype"/>
          <w:sz w:val="18"/>
          <w:szCs w:val="18"/>
          <w:lang w:val="es-ES_tradnl"/>
        </w:rPr>
        <w:t>Esta hoja corresponde a la resolución de fecha</w:t>
      </w:r>
      <w:r>
        <w:rPr>
          <w:rFonts w:ascii="Palatino Linotype" w:hAnsi="Palatino Linotype"/>
          <w:sz w:val="18"/>
          <w:szCs w:val="18"/>
          <w:lang w:val="es-ES_tradnl"/>
        </w:rPr>
        <w:t xml:space="preserve"> </w:t>
      </w:r>
      <w:r w:rsidR="00A1327C">
        <w:rPr>
          <w:rFonts w:ascii="Palatino Linotype" w:hAnsi="Palatino Linotype"/>
          <w:sz w:val="18"/>
          <w:szCs w:val="18"/>
          <w:lang w:val="es-ES_tradnl"/>
        </w:rPr>
        <w:t xml:space="preserve">seis </w:t>
      </w:r>
      <w:r>
        <w:rPr>
          <w:rFonts w:ascii="Palatino Linotype" w:hAnsi="Palatino Linotype"/>
          <w:sz w:val="18"/>
          <w:szCs w:val="18"/>
          <w:lang w:val="es-ES_tradnl"/>
        </w:rPr>
        <w:t xml:space="preserve">de diciembre </w:t>
      </w:r>
      <w:r w:rsidRPr="00E96079">
        <w:rPr>
          <w:rFonts w:ascii="Palatino Linotype" w:hAnsi="Palatino Linotype"/>
          <w:sz w:val="18"/>
          <w:szCs w:val="18"/>
          <w:lang w:val="es-ES_tradnl"/>
        </w:rPr>
        <w:t>de dos mil dieciocho, emitida en los recur</w:t>
      </w:r>
      <w:r>
        <w:rPr>
          <w:rFonts w:ascii="Palatino Linotype" w:hAnsi="Palatino Linotype"/>
          <w:sz w:val="18"/>
          <w:szCs w:val="18"/>
          <w:lang w:val="es-ES_tradnl"/>
        </w:rPr>
        <w:t xml:space="preserve">sos de revisión acumulados 03527/INFOEM/IP/RR/2018, 03528/INFOEM/IP/RR/2018, 03529/INFOEM/IP/RR/2018, 03530/INFOEM/IP/RR/2018, 03652/INFOEM/IP/RR/2018, 03653/INFOEM/IP/RR/2018, 03654/INFOEM/IP/RR/2018, </w:t>
      </w:r>
      <w:r w:rsidRPr="00E96079">
        <w:rPr>
          <w:rFonts w:ascii="Palatino Linotype" w:hAnsi="Palatino Linotype"/>
          <w:sz w:val="18"/>
          <w:szCs w:val="18"/>
          <w:lang w:val="es-ES_tradnl"/>
        </w:rPr>
        <w:t xml:space="preserve">y </w:t>
      </w:r>
      <w:r>
        <w:rPr>
          <w:rFonts w:ascii="Palatino Linotype" w:hAnsi="Palatino Linotype"/>
          <w:sz w:val="18"/>
          <w:szCs w:val="18"/>
          <w:lang w:val="es-ES_tradnl"/>
        </w:rPr>
        <w:t>03655</w:t>
      </w:r>
      <w:r w:rsidRPr="00E96079">
        <w:rPr>
          <w:rFonts w:ascii="Palatino Linotype" w:hAnsi="Palatino Linotype"/>
          <w:sz w:val="18"/>
          <w:szCs w:val="18"/>
          <w:lang w:val="es-ES_tradnl"/>
        </w:rPr>
        <w:t>/INFOEM/IP/RR/2018.</w:t>
      </w:r>
    </w:p>
    <w:p w:rsidR="00C23B43" w:rsidRDefault="00A46E1F" w:rsidP="00AE2201">
      <w:pPr>
        <w:spacing w:before="100" w:beforeAutospacing="1" w:after="100" w:afterAutospacing="1"/>
        <w:jc w:val="both"/>
      </w:pPr>
      <w:r w:rsidRPr="00E96079">
        <w:rPr>
          <w:rFonts w:ascii="Palatino Linotype" w:hAnsi="Palatino Linotype"/>
          <w:sz w:val="18"/>
          <w:szCs w:val="18"/>
          <w:lang w:val="es-ES_tradnl"/>
        </w:rPr>
        <w:t>YSM/AMV</w:t>
      </w:r>
    </w:p>
    <w:sectPr w:rsidR="00C23B43" w:rsidSect="004C5098">
      <w:headerReference w:type="default" r:id="rId38"/>
      <w:footerReference w:type="default" r:id="rId39"/>
      <w:headerReference w:type="first" r:id="rId40"/>
      <w:footerReference w:type="first" r:id="rId41"/>
      <w:pgSz w:w="12240" w:h="15840"/>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540F" w:rsidRDefault="0036540F" w:rsidP="00A46E1F">
      <w:r>
        <w:separator/>
      </w:r>
    </w:p>
  </w:endnote>
  <w:endnote w:type="continuationSeparator" w:id="0">
    <w:p w:rsidR="0036540F" w:rsidRDefault="0036540F" w:rsidP="00A46E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00000000"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19E8" w:rsidRPr="00F12350" w:rsidRDefault="0061287D" w:rsidP="004C5098">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1C6E2A">
      <w:rPr>
        <w:rFonts w:ascii="Palatino Linotype" w:hAnsi="Palatino Linotype" w:cs="Arial"/>
        <w:b/>
        <w:bCs/>
        <w:noProof/>
        <w:sz w:val="20"/>
        <w:szCs w:val="20"/>
      </w:rPr>
      <w:t>33</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1C6E2A">
      <w:rPr>
        <w:rFonts w:ascii="Palatino Linotype" w:hAnsi="Palatino Linotype" w:cs="Arial"/>
        <w:b/>
        <w:bCs/>
        <w:noProof/>
        <w:sz w:val="20"/>
        <w:szCs w:val="20"/>
      </w:rPr>
      <w:t>53</w:t>
    </w:r>
    <w:r w:rsidRPr="00F12350">
      <w:rPr>
        <w:rFonts w:ascii="Palatino Linotype" w:hAnsi="Palatino Linotype" w:cs="Arial"/>
        <w:b/>
        <w:bCs/>
        <w:sz w:val="20"/>
        <w:szCs w:val="20"/>
      </w:rPr>
      <w:fldChar w:fldCharType="end"/>
    </w:r>
  </w:p>
  <w:p w:rsidR="004B19E8" w:rsidRDefault="001C6E2A" w:rsidP="004C5098">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19E8" w:rsidRPr="00F12350" w:rsidRDefault="0061287D" w:rsidP="004C5098">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1C6E2A">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1C6E2A">
      <w:rPr>
        <w:rFonts w:ascii="Palatino Linotype" w:hAnsi="Palatino Linotype" w:cs="Arial"/>
        <w:b/>
        <w:bCs/>
        <w:noProof/>
        <w:sz w:val="20"/>
        <w:szCs w:val="20"/>
      </w:rPr>
      <w:t>53</w:t>
    </w:r>
    <w:r w:rsidRPr="00F12350">
      <w:rPr>
        <w:rFonts w:ascii="Palatino Linotype" w:hAnsi="Palatino Linotype" w:cs="Arial"/>
        <w:b/>
        <w:bCs/>
        <w:sz w:val="20"/>
        <w:szCs w:val="20"/>
      </w:rPr>
      <w:fldChar w:fldCharType="end"/>
    </w:r>
  </w:p>
  <w:p w:rsidR="004B19E8" w:rsidRDefault="001C6E2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540F" w:rsidRDefault="0036540F" w:rsidP="00A46E1F">
      <w:r>
        <w:separator/>
      </w:r>
    </w:p>
  </w:footnote>
  <w:footnote w:type="continuationSeparator" w:id="0">
    <w:p w:rsidR="0036540F" w:rsidRDefault="0036540F" w:rsidP="00A46E1F">
      <w:r>
        <w:continuationSeparator/>
      </w:r>
    </w:p>
  </w:footnote>
  <w:footnote w:id="1">
    <w:p w:rsidR="00A46E1F" w:rsidRPr="007C3561" w:rsidRDefault="00A46E1F" w:rsidP="00A46E1F">
      <w:pPr>
        <w:pStyle w:val="Textonotapie"/>
        <w:spacing w:before="60" w:after="60"/>
        <w:rPr>
          <w:rFonts w:ascii="Palatino Linotype" w:hAnsi="Palatino Linotype"/>
          <w:sz w:val="16"/>
          <w:szCs w:val="16"/>
        </w:rPr>
      </w:pPr>
      <w:r>
        <w:rPr>
          <w:rStyle w:val="Refdenotaalpie"/>
        </w:rPr>
        <w:footnoteRef/>
      </w:r>
      <w:r>
        <w:t xml:space="preserve"> </w:t>
      </w:r>
      <w:r w:rsidRPr="007C3561">
        <w:rPr>
          <w:rFonts w:ascii="Palatino Linotype" w:hAnsi="Palatino Linotype"/>
          <w:b/>
          <w:sz w:val="16"/>
          <w:szCs w:val="16"/>
        </w:rPr>
        <w:t xml:space="preserve">Artículo 179. El recurso de revisión </w:t>
      </w:r>
      <w:r w:rsidRPr="007C3561">
        <w:rPr>
          <w:rFonts w:ascii="Palatino Linotype" w:hAnsi="Palatino Linotype"/>
          <w:sz w:val="16"/>
          <w:szCs w:val="16"/>
        </w:rPr>
        <w:t xml:space="preserve">es un medio de protección que la Ley otorga a los particulares, para hacer valer su derecho de acceso a la información pública, y </w:t>
      </w:r>
      <w:r w:rsidRPr="007C3561">
        <w:rPr>
          <w:rFonts w:ascii="Palatino Linotype" w:hAnsi="Palatino Linotype"/>
          <w:b/>
          <w:sz w:val="16"/>
          <w:szCs w:val="16"/>
        </w:rPr>
        <w:t>procederá en contra de las siguientes causas</w:t>
      </w:r>
      <w:r w:rsidRPr="007C3561">
        <w:rPr>
          <w:rFonts w:ascii="Palatino Linotype" w:hAnsi="Palatino Linotype"/>
          <w:sz w:val="16"/>
          <w:szCs w:val="16"/>
        </w:rPr>
        <w:t xml:space="preserve">: </w:t>
      </w:r>
    </w:p>
    <w:p w:rsidR="00A46E1F" w:rsidRDefault="00A46E1F" w:rsidP="00A46E1F">
      <w:pPr>
        <w:pStyle w:val="Textonotapie"/>
        <w:spacing w:before="60" w:after="60"/>
        <w:rPr>
          <w:rFonts w:ascii="Palatino Linotype" w:hAnsi="Palatino Linotype"/>
          <w:b/>
          <w:sz w:val="16"/>
          <w:szCs w:val="16"/>
        </w:rPr>
      </w:pPr>
      <w:r w:rsidRPr="007C3561">
        <w:rPr>
          <w:rFonts w:ascii="Palatino Linotype" w:hAnsi="Palatino Linotype"/>
          <w:b/>
          <w:sz w:val="16"/>
          <w:szCs w:val="16"/>
        </w:rPr>
        <w:t>I. La negativa a la información solicitada;</w:t>
      </w:r>
    </w:p>
    <w:p w:rsidR="00A46E1F" w:rsidRPr="000850DE" w:rsidRDefault="00A46E1F" w:rsidP="00A46E1F">
      <w:pPr>
        <w:pStyle w:val="Textonotapie"/>
        <w:spacing w:before="60" w:after="60"/>
        <w:rPr>
          <w:rFonts w:ascii="Palatino Linotype" w:hAnsi="Palatino Linotype"/>
          <w:b/>
          <w:sz w:val="16"/>
          <w:szCs w:val="16"/>
        </w:rPr>
      </w:pPr>
      <w:r>
        <w:rPr>
          <w:rFonts w:ascii="Palatino Linotype" w:hAnsi="Palatino Linotype"/>
          <w:b/>
          <w:sz w:val="16"/>
          <w:szCs w:val="16"/>
        </w:rPr>
        <w:t>II</w:t>
      </w:r>
      <w:r w:rsidRPr="007C3561">
        <w:rPr>
          <w:rFonts w:ascii="Palatino Linotype" w:hAnsi="Palatino Linotype"/>
          <w:b/>
          <w:sz w:val="16"/>
          <w:szCs w:val="16"/>
        </w:rPr>
        <w:t xml:space="preserve">. </w:t>
      </w:r>
      <w:r>
        <w:rPr>
          <w:rFonts w:ascii="Palatino Linotype" w:hAnsi="Palatino Linotype"/>
          <w:b/>
          <w:sz w:val="16"/>
          <w:szCs w:val="16"/>
        </w:rPr>
        <w:t>La clasificación de la l</w:t>
      </w:r>
      <w:r w:rsidRPr="007C3561">
        <w:rPr>
          <w:rFonts w:ascii="Palatino Linotype" w:hAnsi="Palatino Linotype"/>
          <w:b/>
          <w:sz w:val="16"/>
          <w:szCs w:val="16"/>
        </w:rPr>
        <w:t>os costos</w:t>
      </w:r>
      <w:r w:rsidRPr="007C3561">
        <w:rPr>
          <w:rFonts w:ascii="Palatino Linotype" w:hAnsi="Palatino Linotype"/>
          <w:sz w:val="16"/>
          <w:szCs w:val="16"/>
        </w:rPr>
        <w:t xml:space="preserve"> o tiempos de </w:t>
      </w:r>
      <w:r w:rsidRPr="007C3561">
        <w:rPr>
          <w:rFonts w:ascii="Palatino Linotype" w:hAnsi="Palatino Linotype"/>
          <w:b/>
          <w:sz w:val="16"/>
          <w:szCs w:val="16"/>
        </w:rPr>
        <w:t>entrega de la información</w:t>
      </w:r>
      <w:r w:rsidRPr="007C3561">
        <w:rPr>
          <w:rFonts w:ascii="Palatino Linotype" w:hAnsi="Palatino Linotype"/>
          <w:sz w:val="16"/>
          <w:szCs w:val="16"/>
        </w:rPr>
        <w:t>;</w:t>
      </w:r>
    </w:p>
  </w:footnote>
  <w:footnote w:id="2">
    <w:p w:rsidR="00A46E1F" w:rsidRDefault="00A46E1F" w:rsidP="00A46E1F">
      <w:pPr>
        <w:pStyle w:val="Textonotapie"/>
        <w:rPr>
          <w:rFonts w:ascii="Palatino Linotype" w:hAnsi="Palatino Linotype"/>
          <w:sz w:val="16"/>
          <w:szCs w:val="16"/>
        </w:rPr>
      </w:pPr>
      <w:r>
        <w:rPr>
          <w:rStyle w:val="Refdenotaalpie"/>
        </w:rPr>
        <w:footnoteRef/>
      </w:r>
      <w:r>
        <w:t xml:space="preserve"> </w:t>
      </w:r>
      <w:r w:rsidRPr="008610F6">
        <w:rPr>
          <w:rFonts w:ascii="Palatino Linotype" w:hAnsi="Palatino Linotype"/>
          <w:b/>
          <w:sz w:val="16"/>
          <w:szCs w:val="16"/>
        </w:rPr>
        <w:t>ARTÍCULO 10.-</w:t>
      </w:r>
      <w:r w:rsidRPr="008610F6">
        <w:rPr>
          <w:rFonts w:ascii="Palatino Linotype" w:hAnsi="Palatino Linotype"/>
          <w:sz w:val="16"/>
          <w:szCs w:val="16"/>
        </w:rPr>
        <w:t xml:space="preserve"> Las instituciones públicas tienen la obligación de permitir las inspecciones y visitas domiciliarias que en cualquier momento practique el Instituto, con la finalidad de verificar la corrección en el entero de cuotas, aportaciones y otros descuentos. El Instituto tendrá la facultad de determinar diferencias, así como el daño patrimonial, en su caso. </w:t>
      </w:r>
    </w:p>
    <w:p w:rsidR="00A46E1F" w:rsidRDefault="00A46E1F" w:rsidP="00A46E1F">
      <w:pPr>
        <w:pStyle w:val="Textonotapie"/>
        <w:rPr>
          <w:rFonts w:ascii="Palatino Linotype" w:hAnsi="Palatino Linotype"/>
          <w:sz w:val="16"/>
          <w:szCs w:val="16"/>
        </w:rPr>
      </w:pPr>
      <w:r w:rsidRPr="008610F6">
        <w:rPr>
          <w:rFonts w:ascii="Palatino Linotype" w:hAnsi="Palatino Linotype"/>
          <w:sz w:val="16"/>
          <w:szCs w:val="16"/>
        </w:rPr>
        <w:t xml:space="preserve">Las Instituciones públicas serán responsables de los daños y perjuicios que se causen al Instituto o a los derechohabientes, por el incumplimiento a las obligaciones que les impone a éstas la presente ley. </w:t>
      </w:r>
    </w:p>
    <w:p w:rsidR="00A46E1F" w:rsidRDefault="00A46E1F" w:rsidP="00A46E1F">
      <w:pPr>
        <w:pStyle w:val="Textonotapie"/>
        <w:rPr>
          <w:rFonts w:ascii="Palatino Linotype" w:hAnsi="Palatino Linotype"/>
          <w:sz w:val="16"/>
          <w:szCs w:val="16"/>
        </w:rPr>
      </w:pPr>
      <w:r w:rsidRPr="008610F6">
        <w:rPr>
          <w:rFonts w:ascii="Palatino Linotype" w:hAnsi="Palatino Linotype"/>
          <w:sz w:val="16"/>
          <w:szCs w:val="16"/>
        </w:rPr>
        <w:t>Los servidores públicos tendrán derecho a exigir a las Instituciones públicas el estricto cumplimiento de lo dispuesto en este artículo.</w:t>
      </w:r>
    </w:p>
    <w:p w:rsidR="00A46E1F" w:rsidRDefault="00A46E1F" w:rsidP="00A46E1F">
      <w:pPr>
        <w:pStyle w:val="Textonotapie"/>
        <w:rPr>
          <w:rFonts w:ascii="Palatino Linotype" w:hAnsi="Palatino Linotype"/>
          <w:sz w:val="16"/>
          <w:szCs w:val="16"/>
        </w:rPr>
      </w:pPr>
      <w:r w:rsidRPr="008610F6">
        <w:rPr>
          <w:rFonts w:ascii="Palatino Linotype" w:hAnsi="Palatino Linotype"/>
          <w:b/>
          <w:sz w:val="16"/>
          <w:szCs w:val="16"/>
        </w:rPr>
        <w:t>ARTÍCULO 35.-</w:t>
      </w:r>
      <w:r w:rsidRPr="008610F6">
        <w:rPr>
          <w:rFonts w:ascii="Palatino Linotype" w:hAnsi="Palatino Linotype"/>
          <w:sz w:val="16"/>
          <w:szCs w:val="16"/>
        </w:rPr>
        <w:t xml:space="preserve"> Las instituciones públicas deberán enterar al Instituto el importe de las cuotas retenidas quincenalmente a los servidores públicos, así como el de las aportaciones que les correspondan, dentro de los cinco días siguientes al de la fecha en que efectúen la retención. En el mismo plazo, deberán enterar el importe de los descuentos que por créditos u otros conceptos que ordene el propio Instituto, en cumplimiento de lo dispuesto por esta ley. </w:t>
      </w:r>
    </w:p>
    <w:p w:rsidR="00A46E1F" w:rsidRDefault="00A46E1F" w:rsidP="00A46E1F">
      <w:pPr>
        <w:pStyle w:val="Textonotapie"/>
        <w:rPr>
          <w:rFonts w:ascii="Palatino Linotype" w:hAnsi="Palatino Linotype"/>
          <w:sz w:val="16"/>
          <w:szCs w:val="16"/>
        </w:rPr>
      </w:pPr>
      <w:r w:rsidRPr="008610F6">
        <w:rPr>
          <w:rFonts w:ascii="Palatino Linotype" w:hAnsi="Palatino Linotype"/>
          <w:sz w:val="16"/>
          <w:szCs w:val="16"/>
        </w:rPr>
        <w:t>El entero de cuotas y aportaciones que los ayuntamientos convengan a través de descuento de las participaciones federales que les correspondan, se realizará de forma mensual</w:t>
      </w:r>
      <w:r>
        <w:rPr>
          <w:rFonts w:ascii="Palatino Linotype" w:hAnsi="Palatino Linotype"/>
          <w:sz w:val="16"/>
          <w:szCs w:val="16"/>
        </w:rPr>
        <w:t>.</w:t>
      </w:r>
    </w:p>
    <w:p w:rsidR="00A46E1F" w:rsidRDefault="00A46E1F" w:rsidP="00A46E1F">
      <w:pPr>
        <w:pStyle w:val="Textonotapie"/>
        <w:rPr>
          <w:rFonts w:ascii="Palatino Linotype" w:hAnsi="Palatino Linotype"/>
          <w:sz w:val="16"/>
          <w:szCs w:val="16"/>
        </w:rPr>
      </w:pPr>
      <w:r w:rsidRPr="008610F6">
        <w:rPr>
          <w:rFonts w:ascii="Palatino Linotype" w:hAnsi="Palatino Linotype"/>
          <w:b/>
          <w:sz w:val="16"/>
          <w:szCs w:val="16"/>
        </w:rPr>
        <w:t>ARTÍCULO 36.-</w:t>
      </w:r>
      <w:r w:rsidRPr="008610F6">
        <w:rPr>
          <w:rFonts w:ascii="Palatino Linotype" w:hAnsi="Palatino Linotype"/>
          <w:sz w:val="16"/>
          <w:szCs w:val="16"/>
        </w:rPr>
        <w:t xml:space="preserve"> Las cuotas y aportaciones obligatorias tienen el carácter fiscal. </w:t>
      </w:r>
    </w:p>
    <w:p w:rsidR="00A46E1F" w:rsidRDefault="00A46E1F" w:rsidP="00A46E1F">
      <w:pPr>
        <w:pStyle w:val="Textonotapie"/>
        <w:rPr>
          <w:rFonts w:ascii="Palatino Linotype" w:hAnsi="Palatino Linotype"/>
          <w:sz w:val="16"/>
          <w:szCs w:val="16"/>
        </w:rPr>
      </w:pPr>
      <w:r w:rsidRPr="008610F6">
        <w:rPr>
          <w:rFonts w:ascii="Palatino Linotype" w:hAnsi="Palatino Linotype"/>
          <w:sz w:val="16"/>
          <w:szCs w:val="16"/>
        </w:rPr>
        <w:t xml:space="preserve">El Instituto tiene atribuciones para determinar los créditos fiscales y las bases de su liquidación, así como para fijarlos en cantidad líquida, notificarlos y percibirlos de conformidad con la presente ley. </w:t>
      </w:r>
    </w:p>
    <w:p w:rsidR="00A46E1F" w:rsidRDefault="00A46E1F" w:rsidP="00A46E1F">
      <w:pPr>
        <w:pStyle w:val="Textonotapie"/>
        <w:rPr>
          <w:rFonts w:ascii="Palatino Linotype" w:hAnsi="Palatino Linotype"/>
          <w:sz w:val="16"/>
          <w:szCs w:val="16"/>
        </w:rPr>
      </w:pPr>
      <w:r w:rsidRPr="008610F6">
        <w:rPr>
          <w:rFonts w:ascii="Palatino Linotype" w:hAnsi="Palatino Linotype"/>
          <w:sz w:val="16"/>
          <w:szCs w:val="16"/>
        </w:rPr>
        <w:t>El cobro de créditos fiscales a favor del Instituto, se aplicará a través de la Secretaría de Finanzas, en términos de lo que señala el Código de Procedimientos Administrativos del Estado de México y Municipios.</w:t>
      </w:r>
    </w:p>
    <w:p w:rsidR="00A46E1F" w:rsidRPr="008610F6" w:rsidRDefault="00A46E1F" w:rsidP="00A46E1F">
      <w:pPr>
        <w:pStyle w:val="Textonotapie"/>
        <w:rPr>
          <w:rFonts w:ascii="Palatino Linotype" w:hAnsi="Palatino Linotype"/>
          <w:sz w:val="16"/>
          <w:szCs w:val="16"/>
        </w:rPr>
      </w:pPr>
      <w:r w:rsidRPr="008610F6">
        <w:rPr>
          <w:rFonts w:ascii="Palatino Linotype" w:hAnsi="Palatino Linotype"/>
          <w:sz w:val="16"/>
          <w:szCs w:val="16"/>
        </w:rPr>
        <w:t xml:space="preserve"> Los créditos fiscales a cargo de las instituciones públicas se actualizarán con los recargos y sanciones que establece el Código Financiero del Estado de México y Municipios.</w:t>
      </w:r>
    </w:p>
  </w:footnote>
  <w:footnote w:id="3">
    <w:p w:rsidR="00A46E1F" w:rsidRPr="008610F6" w:rsidRDefault="00A46E1F" w:rsidP="00A46E1F">
      <w:pPr>
        <w:pStyle w:val="Textonotapie"/>
        <w:rPr>
          <w:rFonts w:ascii="Palatino Linotype" w:hAnsi="Palatino Linotype"/>
          <w:b/>
          <w:sz w:val="16"/>
          <w:szCs w:val="16"/>
        </w:rPr>
      </w:pPr>
      <w:r w:rsidRPr="008610F6">
        <w:rPr>
          <w:rFonts w:ascii="Palatino Linotype" w:hAnsi="Palatino Linotype"/>
          <w:sz w:val="16"/>
          <w:szCs w:val="16"/>
        </w:rPr>
        <w:footnoteRef/>
      </w:r>
      <w:r w:rsidRPr="008610F6">
        <w:rPr>
          <w:rFonts w:ascii="Palatino Linotype" w:hAnsi="Palatino Linotype"/>
          <w:sz w:val="16"/>
          <w:szCs w:val="16"/>
        </w:rPr>
        <w:t xml:space="preserve"> </w:t>
      </w:r>
      <w:r w:rsidRPr="008610F6">
        <w:rPr>
          <w:rFonts w:ascii="Palatino Linotype" w:hAnsi="Palatino Linotype"/>
          <w:b/>
          <w:sz w:val="16"/>
          <w:szCs w:val="16"/>
        </w:rPr>
        <w:t>Universidad Autónoma del Estado de México.</w:t>
      </w:r>
    </w:p>
  </w:footnote>
  <w:footnote w:id="4">
    <w:p w:rsidR="00A46E1F" w:rsidRDefault="00A46E1F" w:rsidP="00A46E1F">
      <w:pPr>
        <w:pStyle w:val="Textonotapie"/>
      </w:pPr>
      <w:r>
        <w:rPr>
          <w:rStyle w:val="Refdenotaalpie"/>
        </w:rPr>
        <w:footnoteRef/>
      </w:r>
      <w:r>
        <w:t xml:space="preserve"> </w:t>
      </w:r>
      <w:r w:rsidRPr="006C5376">
        <w:rPr>
          <w:rFonts w:ascii="Palatino Linotype" w:hAnsi="Palatino Linotype"/>
          <w:sz w:val="16"/>
          <w:szCs w:val="16"/>
        </w:rPr>
        <w:t>Ello en términos de lo establecido en los artículos 13 y 181, párrafo cuarto de la Ley de Transparencia y Acceso a la Información Pública del Estado de México y Municipios.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19E8" w:rsidRDefault="0061287D" w:rsidP="004C5098">
    <w:pPr>
      <w:pStyle w:val="Encabezado"/>
      <w:tabs>
        <w:tab w:val="clear" w:pos="4252"/>
        <w:tab w:val="clear" w:pos="8504"/>
        <w:tab w:val="left" w:pos="2326"/>
      </w:tabs>
    </w:pPr>
    <w:r>
      <w:t xml:space="preserve">                                                                   </w:t>
    </w:r>
  </w:p>
  <w:tbl>
    <w:tblPr>
      <w:tblW w:w="6662" w:type="dxa"/>
      <w:tblInd w:w="3544" w:type="dxa"/>
      <w:tblLayout w:type="fixed"/>
      <w:tblLook w:val="04A0" w:firstRow="1" w:lastRow="0" w:firstColumn="1" w:lastColumn="0" w:noHBand="0" w:noVBand="1"/>
    </w:tblPr>
    <w:tblGrid>
      <w:gridCol w:w="562"/>
      <w:gridCol w:w="1990"/>
      <w:gridCol w:w="562"/>
      <w:gridCol w:w="2414"/>
      <w:gridCol w:w="1134"/>
    </w:tblGrid>
    <w:tr w:rsidR="004B19E8" w:rsidRPr="008A510F" w:rsidTr="004C5098">
      <w:trPr>
        <w:gridAfter w:val="1"/>
        <w:wAfter w:w="1134" w:type="dxa"/>
      </w:trPr>
      <w:tc>
        <w:tcPr>
          <w:tcW w:w="2552" w:type="dxa"/>
          <w:gridSpan w:val="2"/>
          <w:shd w:val="clear" w:color="auto" w:fill="auto"/>
        </w:tcPr>
        <w:p w:rsidR="004B19E8" w:rsidRPr="008F2CCC" w:rsidRDefault="0061287D" w:rsidP="004C5098">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2976" w:type="dxa"/>
          <w:gridSpan w:val="2"/>
          <w:shd w:val="clear" w:color="auto" w:fill="auto"/>
        </w:tcPr>
        <w:p w:rsidR="004B19E8" w:rsidRPr="008F2CCC" w:rsidRDefault="0061287D" w:rsidP="00210F6A">
          <w:pPr>
            <w:jc w:val="both"/>
            <w:rPr>
              <w:rFonts w:ascii="Palatino Linotype" w:hAnsi="Palatino Linotype"/>
              <w:b/>
              <w:sz w:val="22"/>
              <w:szCs w:val="22"/>
              <w:lang w:val="es-ES_tradnl"/>
            </w:rPr>
          </w:pPr>
          <w:r w:rsidRPr="002F2E73">
            <w:rPr>
              <w:rFonts w:ascii="Palatino Linotype" w:hAnsi="Palatino Linotype"/>
              <w:b/>
              <w:sz w:val="22"/>
              <w:szCs w:val="22"/>
              <w:lang w:val="es-ES_tradnl"/>
            </w:rPr>
            <w:t>0</w:t>
          </w:r>
          <w:r>
            <w:rPr>
              <w:rFonts w:ascii="Palatino Linotype" w:hAnsi="Palatino Linotype"/>
              <w:b/>
              <w:sz w:val="22"/>
              <w:szCs w:val="22"/>
              <w:lang w:val="es-ES_tradnl"/>
            </w:rPr>
            <w:t>3527/INFOEM/IP/RR/2018</w:t>
          </w:r>
          <w:r w:rsidRPr="002F2E73">
            <w:rPr>
              <w:rFonts w:ascii="Palatino Linotype" w:hAnsi="Palatino Linotype"/>
              <w:b/>
              <w:sz w:val="22"/>
              <w:szCs w:val="22"/>
              <w:lang w:val="es-ES_tradnl"/>
            </w:rPr>
            <w:t xml:space="preserve"> y acumulado</w:t>
          </w:r>
          <w:r>
            <w:rPr>
              <w:rFonts w:ascii="Palatino Linotype" w:hAnsi="Palatino Linotype"/>
              <w:b/>
              <w:sz w:val="22"/>
              <w:szCs w:val="22"/>
              <w:lang w:val="es-ES_tradnl"/>
            </w:rPr>
            <w:t xml:space="preserve">s </w:t>
          </w:r>
        </w:p>
      </w:tc>
    </w:tr>
    <w:tr w:rsidR="004B19E8" w:rsidRPr="008A510F" w:rsidTr="004C5098">
      <w:trPr>
        <w:gridAfter w:val="1"/>
        <w:wAfter w:w="1134" w:type="dxa"/>
        <w:trHeight w:val="228"/>
      </w:trPr>
      <w:tc>
        <w:tcPr>
          <w:tcW w:w="2552" w:type="dxa"/>
          <w:gridSpan w:val="2"/>
          <w:shd w:val="clear" w:color="auto" w:fill="auto"/>
        </w:tcPr>
        <w:p w:rsidR="004B19E8" w:rsidRPr="008F2CCC" w:rsidRDefault="0061287D" w:rsidP="004C5098">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2976" w:type="dxa"/>
          <w:gridSpan w:val="2"/>
          <w:shd w:val="clear" w:color="auto" w:fill="auto"/>
        </w:tcPr>
        <w:p w:rsidR="004B19E8" w:rsidRPr="008F2CCC" w:rsidRDefault="0061287D" w:rsidP="00210F6A">
          <w:pPr>
            <w:jc w:val="both"/>
            <w:rPr>
              <w:rFonts w:ascii="Palatino Linotype" w:hAnsi="Palatino Linotype"/>
              <w:b/>
              <w:sz w:val="22"/>
              <w:szCs w:val="22"/>
              <w:lang w:val="es-ES_tradnl"/>
            </w:rPr>
          </w:pPr>
          <w:r>
            <w:rPr>
              <w:rFonts w:ascii="Palatino Linotype" w:hAnsi="Palatino Linotype"/>
              <w:b/>
              <w:sz w:val="22"/>
              <w:szCs w:val="22"/>
              <w:lang w:val="es-ES_tradnl"/>
            </w:rPr>
            <w:t>Instituto de Seguridad Social del Estado de México y Municipios</w:t>
          </w:r>
        </w:p>
      </w:tc>
    </w:tr>
    <w:tr w:rsidR="004B19E8" w:rsidRPr="008A510F" w:rsidTr="004C5098">
      <w:trPr>
        <w:gridAfter w:val="1"/>
        <w:wAfter w:w="1134" w:type="dxa"/>
      </w:trPr>
      <w:tc>
        <w:tcPr>
          <w:tcW w:w="2552" w:type="dxa"/>
          <w:gridSpan w:val="2"/>
          <w:shd w:val="clear" w:color="auto" w:fill="auto"/>
        </w:tcPr>
        <w:p w:rsidR="004B19E8" w:rsidRPr="008F2CCC" w:rsidRDefault="0061287D" w:rsidP="004C5098">
          <w:pPr>
            <w:rPr>
              <w:rFonts w:ascii="Palatino Linotype" w:hAnsi="Palatino Linotype"/>
              <w:b/>
              <w:sz w:val="22"/>
              <w:szCs w:val="22"/>
              <w:lang w:val="es-ES_tradnl"/>
            </w:rPr>
          </w:pPr>
          <w:r w:rsidRPr="008F2CCC">
            <w:rPr>
              <w:rFonts w:ascii="Palatino Linotype" w:hAnsi="Palatino Linotype"/>
              <w:b/>
              <w:sz w:val="22"/>
              <w:szCs w:val="22"/>
              <w:lang w:val="es-ES_tradnl"/>
            </w:rPr>
            <w:t>Comisionada</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ponente:</w:t>
          </w:r>
        </w:p>
      </w:tc>
      <w:tc>
        <w:tcPr>
          <w:tcW w:w="2976" w:type="dxa"/>
          <w:gridSpan w:val="2"/>
          <w:shd w:val="clear" w:color="auto" w:fill="auto"/>
        </w:tcPr>
        <w:p w:rsidR="004B19E8" w:rsidRPr="008F2CCC" w:rsidRDefault="0061287D" w:rsidP="004C5098">
          <w:pPr>
            <w:rPr>
              <w:rFonts w:ascii="Palatino Linotype" w:hAnsi="Palatino Linotype"/>
              <w:b/>
              <w:sz w:val="22"/>
              <w:szCs w:val="22"/>
              <w:lang w:val="es-ES_tradnl"/>
            </w:rPr>
          </w:pPr>
          <w:r w:rsidRPr="008F2CCC">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Yapur</w:t>
          </w:r>
        </w:p>
      </w:tc>
    </w:tr>
    <w:tr w:rsidR="004B19E8" w:rsidRPr="008A510F" w:rsidTr="004C5098">
      <w:trPr>
        <w:gridBefore w:val="1"/>
        <w:wBefore w:w="562" w:type="dxa"/>
      </w:trPr>
      <w:tc>
        <w:tcPr>
          <w:tcW w:w="2552" w:type="dxa"/>
          <w:gridSpan w:val="2"/>
          <w:shd w:val="clear" w:color="auto" w:fill="auto"/>
        </w:tcPr>
        <w:p w:rsidR="004B19E8" w:rsidRPr="008F2CCC" w:rsidRDefault="001C6E2A" w:rsidP="004C5098">
          <w:pPr>
            <w:rPr>
              <w:rFonts w:ascii="Palatino Linotype" w:hAnsi="Palatino Linotype"/>
              <w:b/>
              <w:sz w:val="22"/>
              <w:szCs w:val="22"/>
              <w:lang w:val="es-ES_tradnl"/>
            </w:rPr>
          </w:pPr>
        </w:p>
      </w:tc>
      <w:tc>
        <w:tcPr>
          <w:tcW w:w="3548" w:type="dxa"/>
          <w:gridSpan w:val="2"/>
          <w:shd w:val="clear" w:color="auto" w:fill="auto"/>
        </w:tcPr>
        <w:p w:rsidR="004B19E8" w:rsidRPr="008F2CCC" w:rsidRDefault="001C6E2A" w:rsidP="004C5098">
          <w:pPr>
            <w:jc w:val="both"/>
            <w:rPr>
              <w:rFonts w:ascii="Palatino Linotype" w:hAnsi="Palatino Linotype"/>
              <w:b/>
              <w:sz w:val="22"/>
              <w:szCs w:val="22"/>
              <w:lang w:val="es-ES_tradnl"/>
            </w:rPr>
          </w:pPr>
        </w:p>
      </w:tc>
    </w:tr>
  </w:tbl>
  <w:p w:rsidR="004B19E8" w:rsidRDefault="0061287D" w:rsidP="004C5098">
    <w:pPr>
      <w:pStyle w:val="Encabezado"/>
      <w:tabs>
        <w:tab w:val="clear" w:pos="4252"/>
        <w:tab w:val="clear" w:pos="8504"/>
        <w:tab w:val="left" w:pos="2326"/>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812" w:type="dxa"/>
      <w:tblInd w:w="3402" w:type="dxa"/>
      <w:tblLayout w:type="fixed"/>
      <w:tblLook w:val="04A0" w:firstRow="1" w:lastRow="0" w:firstColumn="1" w:lastColumn="0" w:noHBand="0" w:noVBand="1"/>
    </w:tblPr>
    <w:tblGrid>
      <w:gridCol w:w="2835"/>
      <w:gridCol w:w="2977"/>
    </w:tblGrid>
    <w:tr w:rsidR="004B19E8" w:rsidRPr="00973A36" w:rsidTr="004C5098">
      <w:tc>
        <w:tcPr>
          <w:tcW w:w="2835" w:type="dxa"/>
          <w:shd w:val="clear" w:color="auto" w:fill="auto"/>
        </w:tcPr>
        <w:p w:rsidR="004B19E8" w:rsidRPr="008F2CCC" w:rsidRDefault="0061287D" w:rsidP="004C5098">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s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2977" w:type="dxa"/>
          <w:shd w:val="clear" w:color="auto" w:fill="auto"/>
        </w:tcPr>
        <w:p w:rsidR="004B19E8" w:rsidRPr="00A1327C" w:rsidRDefault="0061287D" w:rsidP="004C5098">
          <w:pPr>
            <w:jc w:val="both"/>
            <w:rPr>
              <w:rFonts w:ascii="Palatino Linotype" w:hAnsi="Palatino Linotype"/>
              <w:b/>
              <w:sz w:val="22"/>
              <w:szCs w:val="22"/>
            </w:rPr>
          </w:pPr>
          <w:r w:rsidRPr="00A1327C">
            <w:rPr>
              <w:rFonts w:ascii="Palatino Linotype" w:hAnsi="Palatino Linotype"/>
              <w:b/>
              <w:sz w:val="22"/>
              <w:szCs w:val="22"/>
            </w:rPr>
            <w:t xml:space="preserve">03527/INFOEM/IP/RR/2018 </w:t>
          </w:r>
        </w:p>
        <w:p w:rsidR="004B19E8" w:rsidRPr="00A1327C" w:rsidRDefault="0061287D" w:rsidP="004C5098">
          <w:pPr>
            <w:jc w:val="both"/>
            <w:rPr>
              <w:rFonts w:ascii="Palatino Linotype" w:hAnsi="Palatino Linotype"/>
              <w:b/>
              <w:sz w:val="22"/>
              <w:szCs w:val="22"/>
            </w:rPr>
          </w:pPr>
          <w:r w:rsidRPr="00A1327C">
            <w:rPr>
              <w:rFonts w:ascii="Palatino Linotype" w:hAnsi="Palatino Linotype"/>
              <w:b/>
              <w:sz w:val="22"/>
              <w:szCs w:val="22"/>
            </w:rPr>
            <w:t>y acumulados</w:t>
          </w:r>
        </w:p>
      </w:tc>
    </w:tr>
    <w:tr w:rsidR="004B19E8" w:rsidRPr="005A5E02" w:rsidTr="004C5098">
      <w:tc>
        <w:tcPr>
          <w:tcW w:w="2835" w:type="dxa"/>
          <w:shd w:val="clear" w:color="auto" w:fill="auto"/>
        </w:tcPr>
        <w:p w:rsidR="004B19E8" w:rsidRPr="008F2CCC" w:rsidRDefault="0061287D" w:rsidP="004C5098">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2977" w:type="dxa"/>
          <w:shd w:val="clear" w:color="auto" w:fill="auto"/>
        </w:tcPr>
        <w:p w:rsidR="004B19E8" w:rsidRPr="008F2CCC" w:rsidRDefault="00C4320D" w:rsidP="00C4320D">
          <w:pPr>
            <w:jc w:val="both"/>
            <w:rPr>
              <w:rFonts w:ascii="Palatino Linotype" w:hAnsi="Palatino Linotype"/>
              <w:b/>
              <w:sz w:val="22"/>
              <w:szCs w:val="22"/>
              <w:lang w:val="es-ES_tradnl"/>
            </w:rPr>
          </w:pPr>
          <w:r>
            <w:rPr>
              <w:rFonts w:ascii="Palatino Linotype" w:hAnsi="Palatino Linotype"/>
              <w:b/>
              <w:sz w:val="22"/>
              <w:szCs w:val="22"/>
              <w:lang w:val="es-ES_tradnl"/>
            </w:rPr>
            <w:t>XXXXXXX XXXXX XXXXXXX</w:t>
          </w:r>
        </w:p>
      </w:tc>
    </w:tr>
    <w:tr w:rsidR="004B19E8" w:rsidRPr="005A5E02" w:rsidTr="004C5098">
      <w:trPr>
        <w:trHeight w:val="228"/>
      </w:trPr>
      <w:tc>
        <w:tcPr>
          <w:tcW w:w="2835" w:type="dxa"/>
          <w:shd w:val="clear" w:color="auto" w:fill="auto"/>
        </w:tcPr>
        <w:p w:rsidR="004B19E8" w:rsidRPr="008F2CCC" w:rsidRDefault="0061287D" w:rsidP="004C5098">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2977" w:type="dxa"/>
          <w:shd w:val="clear" w:color="auto" w:fill="auto"/>
        </w:tcPr>
        <w:p w:rsidR="004B19E8" w:rsidRPr="008F2CCC" w:rsidRDefault="0061287D" w:rsidP="00210F6A">
          <w:pPr>
            <w:jc w:val="both"/>
            <w:rPr>
              <w:rFonts w:ascii="Palatino Linotype" w:hAnsi="Palatino Linotype"/>
              <w:b/>
              <w:sz w:val="22"/>
              <w:szCs w:val="22"/>
              <w:lang w:val="es-ES_tradnl"/>
            </w:rPr>
          </w:pPr>
          <w:r>
            <w:rPr>
              <w:rFonts w:ascii="Palatino Linotype" w:hAnsi="Palatino Linotype"/>
              <w:b/>
              <w:sz w:val="22"/>
              <w:szCs w:val="22"/>
              <w:lang w:val="es-ES_tradnl"/>
            </w:rPr>
            <w:t>Instituto de Seguridad Social del Estado de México y Municipios</w:t>
          </w:r>
        </w:p>
      </w:tc>
    </w:tr>
    <w:tr w:rsidR="004B19E8" w:rsidRPr="005A5E02" w:rsidTr="004C5098">
      <w:tc>
        <w:tcPr>
          <w:tcW w:w="2835" w:type="dxa"/>
          <w:shd w:val="clear" w:color="auto" w:fill="auto"/>
        </w:tcPr>
        <w:p w:rsidR="004B19E8" w:rsidRPr="008F2CCC" w:rsidRDefault="0061287D" w:rsidP="004C5098">
          <w:pPr>
            <w:rPr>
              <w:rFonts w:ascii="Palatino Linotype" w:hAnsi="Palatino Linotype"/>
              <w:b/>
              <w:sz w:val="22"/>
              <w:szCs w:val="22"/>
              <w:lang w:val="es-ES_tradnl"/>
            </w:rPr>
          </w:pPr>
          <w:r w:rsidRPr="008F2CCC">
            <w:rPr>
              <w:rFonts w:ascii="Palatino Linotype" w:hAnsi="Palatino Linotype"/>
              <w:b/>
              <w:sz w:val="22"/>
              <w:szCs w:val="22"/>
              <w:lang w:val="es-ES_tradnl"/>
            </w:rPr>
            <w:t>Comisionada</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ponente:</w:t>
          </w:r>
        </w:p>
      </w:tc>
      <w:tc>
        <w:tcPr>
          <w:tcW w:w="2977" w:type="dxa"/>
          <w:shd w:val="clear" w:color="auto" w:fill="auto"/>
        </w:tcPr>
        <w:p w:rsidR="004B19E8" w:rsidRPr="008F2CCC" w:rsidRDefault="0061287D" w:rsidP="004C5098">
          <w:pPr>
            <w:jc w:val="both"/>
            <w:rPr>
              <w:rFonts w:ascii="Palatino Linotype" w:hAnsi="Palatino Linotype"/>
              <w:b/>
              <w:sz w:val="22"/>
              <w:szCs w:val="22"/>
              <w:lang w:val="es-ES_tradnl"/>
            </w:rPr>
          </w:pPr>
          <w:r w:rsidRPr="008F2CCC">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Yapur</w:t>
          </w:r>
        </w:p>
      </w:tc>
    </w:tr>
  </w:tbl>
  <w:p w:rsidR="004B19E8" w:rsidRDefault="001C6E2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8B4CE9"/>
    <w:multiLevelType w:val="hybridMultilevel"/>
    <w:tmpl w:val="32EAABA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18273F54"/>
    <w:multiLevelType w:val="hybridMultilevel"/>
    <w:tmpl w:val="8236EC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nsid w:val="1E991C02"/>
    <w:multiLevelType w:val="hybridMultilevel"/>
    <w:tmpl w:val="C68ED9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25C374E7"/>
    <w:multiLevelType w:val="hybridMultilevel"/>
    <w:tmpl w:val="49500D6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264313D0"/>
    <w:multiLevelType w:val="hybridMultilevel"/>
    <w:tmpl w:val="79AAFE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D5A1F76"/>
    <w:multiLevelType w:val="hybridMultilevel"/>
    <w:tmpl w:val="6CC4102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2FBA2972"/>
    <w:multiLevelType w:val="hybridMultilevel"/>
    <w:tmpl w:val="4664D546"/>
    <w:lvl w:ilvl="0" w:tplc="34C000A0">
      <w:start w:val="1"/>
      <w:numFmt w:val="lowerLetter"/>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8">
    <w:nsid w:val="37707911"/>
    <w:multiLevelType w:val="multilevel"/>
    <w:tmpl w:val="8B581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F265FBF"/>
    <w:multiLevelType w:val="hybridMultilevel"/>
    <w:tmpl w:val="EE14108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4154641C"/>
    <w:multiLevelType w:val="hybridMultilevel"/>
    <w:tmpl w:val="9EBAE8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4E9E5A10"/>
    <w:multiLevelType w:val="multilevel"/>
    <w:tmpl w:val="CA0CD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1FA7EA3"/>
    <w:multiLevelType w:val="hybridMultilevel"/>
    <w:tmpl w:val="2326C466"/>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3">
    <w:nsid w:val="62BF06DE"/>
    <w:multiLevelType w:val="hybridMultilevel"/>
    <w:tmpl w:val="5624349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64380E5B"/>
    <w:multiLevelType w:val="hybridMultilevel"/>
    <w:tmpl w:val="B930F74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68DE4A2A"/>
    <w:multiLevelType w:val="hybridMultilevel"/>
    <w:tmpl w:val="C28C0D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70D60510"/>
    <w:multiLevelType w:val="hybridMultilevel"/>
    <w:tmpl w:val="94BA49B0"/>
    <w:lvl w:ilvl="0" w:tplc="7A905756">
      <w:start w:val="1"/>
      <w:numFmt w:val="ordinalText"/>
      <w:lvlText w:val="%1."/>
      <w:lvlJc w:val="left"/>
      <w:pPr>
        <w:ind w:left="5747"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750757A5"/>
    <w:multiLevelType w:val="hybridMultilevel"/>
    <w:tmpl w:val="33269F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79795EEB"/>
    <w:multiLevelType w:val="hybridMultilevel"/>
    <w:tmpl w:val="7804B722"/>
    <w:lvl w:ilvl="0" w:tplc="FAA8B6DC">
      <w:start w:val="1"/>
      <w:numFmt w:val="ordinalText"/>
      <w:lvlText w:val="%1."/>
      <w:lvlJc w:val="left"/>
      <w:pPr>
        <w:ind w:left="3905" w:hanging="360"/>
      </w:pPr>
      <w:rPr>
        <w:rFonts w:hint="default"/>
        <w:b/>
        <w:caps/>
        <w:sz w:val="28"/>
      </w:rPr>
    </w:lvl>
    <w:lvl w:ilvl="1" w:tplc="16B6B4A4">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7EA308DE"/>
    <w:multiLevelType w:val="hybridMultilevel"/>
    <w:tmpl w:val="100279F2"/>
    <w:lvl w:ilvl="0" w:tplc="DD9AE4DE">
      <w:start w:val="1"/>
      <w:numFmt w:val="upperRoman"/>
      <w:lvlText w:val="%1."/>
      <w:lvlJc w:val="left"/>
      <w:pPr>
        <w:ind w:left="720" w:hanging="360"/>
      </w:pPr>
      <w:rPr>
        <w:rFonts w:hint="default"/>
        <w:b/>
        <w:i w:val="0"/>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9"/>
  </w:num>
  <w:num w:numId="2">
    <w:abstractNumId w:val="18"/>
  </w:num>
  <w:num w:numId="3">
    <w:abstractNumId w:val="16"/>
  </w:num>
  <w:num w:numId="4">
    <w:abstractNumId w:val="2"/>
  </w:num>
  <w:num w:numId="5">
    <w:abstractNumId w:val="5"/>
  </w:num>
  <w:num w:numId="6">
    <w:abstractNumId w:val="13"/>
  </w:num>
  <w:num w:numId="7">
    <w:abstractNumId w:val="3"/>
  </w:num>
  <w:num w:numId="8">
    <w:abstractNumId w:val="14"/>
  </w:num>
  <w:num w:numId="9">
    <w:abstractNumId w:val="6"/>
  </w:num>
  <w:num w:numId="10">
    <w:abstractNumId w:val="10"/>
  </w:num>
  <w:num w:numId="11">
    <w:abstractNumId w:val="17"/>
  </w:num>
  <w:num w:numId="12">
    <w:abstractNumId w:val="0"/>
  </w:num>
  <w:num w:numId="13">
    <w:abstractNumId w:val="7"/>
  </w:num>
  <w:num w:numId="14">
    <w:abstractNumId w:val="4"/>
  </w:num>
  <w:num w:numId="15">
    <w:abstractNumId w:val="15"/>
  </w:num>
  <w:num w:numId="16">
    <w:abstractNumId w:val="9"/>
  </w:num>
  <w:num w:numId="17">
    <w:abstractNumId w:val="1"/>
  </w:num>
  <w:num w:numId="18">
    <w:abstractNumId w:val="12"/>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ES" w:vendorID="64" w:dllVersion="131078" w:nlCheck="1" w:checkStyle="1"/>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6E1F"/>
    <w:rsid w:val="00051000"/>
    <w:rsid w:val="001C6E2A"/>
    <w:rsid w:val="0036540F"/>
    <w:rsid w:val="004F3249"/>
    <w:rsid w:val="00504791"/>
    <w:rsid w:val="0055507B"/>
    <w:rsid w:val="0061287D"/>
    <w:rsid w:val="006F6360"/>
    <w:rsid w:val="00A1327C"/>
    <w:rsid w:val="00A46E1F"/>
    <w:rsid w:val="00AE2201"/>
    <w:rsid w:val="00B07D93"/>
    <w:rsid w:val="00B432DE"/>
    <w:rsid w:val="00B6680F"/>
    <w:rsid w:val="00B67E40"/>
    <w:rsid w:val="00C23B43"/>
    <w:rsid w:val="00C4320D"/>
    <w:rsid w:val="00C9714C"/>
    <w:rsid w:val="00E9660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39DFFF9-A397-4571-942E-B7DB05217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6E1F"/>
    <w:pPr>
      <w:spacing w:after="0" w:line="240" w:lineRule="auto"/>
    </w:pPr>
    <w:rPr>
      <w:rFonts w:ascii="Times New Roman" w:eastAsia="Times New Roman" w:hAnsi="Times New Roman" w:cs="Times New Roman"/>
      <w:sz w:val="24"/>
      <w:szCs w:val="24"/>
      <w:lang w:eastAsia="es-MX"/>
    </w:rPr>
  </w:style>
  <w:style w:type="paragraph" w:styleId="Ttulo2">
    <w:name w:val="heading 2"/>
    <w:basedOn w:val="Normal"/>
    <w:link w:val="Ttulo2Car"/>
    <w:uiPriority w:val="9"/>
    <w:qFormat/>
    <w:rsid w:val="00A46E1F"/>
    <w:pPr>
      <w:spacing w:before="100" w:beforeAutospacing="1" w:after="100" w:afterAutospacing="1"/>
      <w:outlineLvl w:val="1"/>
    </w:pPr>
    <w:rPr>
      <w:b/>
      <w:bCs/>
      <w:sz w:val="36"/>
      <w:szCs w:val="3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A46E1F"/>
    <w:rPr>
      <w:rFonts w:ascii="Times New Roman" w:eastAsia="Times New Roman" w:hAnsi="Times New Roman" w:cs="Times New Roman"/>
      <w:b/>
      <w:bCs/>
      <w:sz w:val="36"/>
      <w:szCs w:val="36"/>
      <w:lang w:eastAsia="es-MX"/>
    </w:rPr>
  </w:style>
  <w:style w:type="paragraph" w:styleId="Encabezado">
    <w:name w:val="header"/>
    <w:basedOn w:val="Normal"/>
    <w:link w:val="EncabezadoCar"/>
    <w:uiPriority w:val="99"/>
    <w:unhideWhenUsed/>
    <w:rsid w:val="00A46E1F"/>
    <w:pPr>
      <w:tabs>
        <w:tab w:val="center" w:pos="4252"/>
        <w:tab w:val="right" w:pos="8504"/>
      </w:tabs>
    </w:pPr>
    <w:rPr>
      <w:rFonts w:asciiTheme="minorHAnsi" w:eastAsiaTheme="minorEastAsia" w:hAnsiTheme="minorHAnsi" w:cstheme="minorBidi"/>
      <w:lang w:val="es-ES_tradnl" w:eastAsia="es-ES"/>
    </w:rPr>
  </w:style>
  <w:style w:type="character" w:customStyle="1" w:styleId="EncabezadoCar">
    <w:name w:val="Encabezado Car"/>
    <w:basedOn w:val="Fuentedeprrafopredeter"/>
    <w:link w:val="Encabezado"/>
    <w:uiPriority w:val="99"/>
    <w:rsid w:val="00A46E1F"/>
    <w:rPr>
      <w:rFonts w:eastAsiaTheme="minorEastAsia"/>
      <w:sz w:val="24"/>
      <w:szCs w:val="24"/>
      <w:lang w:val="es-ES_tradnl" w:eastAsia="es-ES"/>
    </w:rPr>
  </w:style>
  <w:style w:type="paragraph" w:styleId="Piedepgina">
    <w:name w:val="footer"/>
    <w:basedOn w:val="Normal"/>
    <w:link w:val="PiedepginaCar"/>
    <w:uiPriority w:val="99"/>
    <w:unhideWhenUsed/>
    <w:rsid w:val="00A46E1F"/>
    <w:pPr>
      <w:tabs>
        <w:tab w:val="center" w:pos="4252"/>
        <w:tab w:val="right" w:pos="8504"/>
      </w:tabs>
    </w:pPr>
    <w:rPr>
      <w:rFonts w:asciiTheme="minorHAnsi" w:eastAsiaTheme="minorEastAsia" w:hAnsiTheme="minorHAnsi" w:cstheme="minorBidi"/>
      <w:lang w:val="es-ES_tradnl" w:eastAsia="es-ES"/>
    </w:rPr>
  </w:style>
  <w:style w:type="character" w:customStyle="1" w:styleId="PiedepginaCar">
    <w:name w:val="Pie de página Car"/>
    <w:basedOn w:val="Fuentedeprrafopredeter"/>
    <w:link w:val="Piedepgina"/>
    <w:uiPriority w:val="99"/>
    <w:rsid w:val="00A46E1F"/>
    <w:rPr>
      <w:rFonts w:eastAsiaTheme="minorEastAsia"/>
      <w:sz w:val="24"/>
      <w:szCs w:val="24"/>
      <w:lang w:val="es-ES_tradnl" w:eastAsia="es-ES"/>
    </w:rPr>
  </w:style>
  <w:style w:type="character" w:customStyle="1" w:styleId="TextodegloboCar">
    <w:name w:val="Texto de globo Car"/>
    <w:basedOn w:val="Fuentedeprrafopredeter"/>
    <w:link w:val="Textodeglobo"/>
    <w:uiPriority w:val="99"/>
    <w:semiHidden/>
    <w:rsid w:val="00A46E1F"/>
    <w:rPr>
      <w:rFonts w:ascii="Lucida Grande" w:eastAsiaTheme="minorEastAsia" w:hAnsi="Lucida Grande" w:cs="Lucida Grande"/>
      <w:sz w:val="18"/>
      <w:szCs w:val="18"/>
      <w:lang w:val="es-ES_tradnl" w:eastAsia="es-ES"/>
    </w:rPr>
  </w:style>
  <w:style w:type="paragraph" w:styleId="Textodeglobo">
    <w:name w:val="Balloon Text"/>
    <w:basedOn w:val="Normal"/>
    <w:link w:val="TextodegloboCar"/>
    <w:uiPriority w:val="99"/>
    <w:semiHidden/>
    <w:unhideWhenUsed/>
    <w:rsid w:val="00A46E1F"/>
    <w:rPr>
      <w:rFonts w:ascii="Lucida Grande" w:eastAsiaTheme="minorEastAsia" w:hAnsi="Lucida Grande" w:cs="Lucida Grande"/>
      <w:sz w:val="18"/>
      <w:szCs w:val="18"/>
      <w:lang w:val="es-ES_tradnl" w:eastAsia="es-ES"/>
    </w:rPr>
  </w:style>
  <w:style w:type="character" w:customStyle="1" w:styleId="TextodegloboCar1">
    <w:name w:val="Texto de globo Car1"/>
    <w:basedOn w:val="Fuentedeprrafopredeter"/>
    <w:uiPriority w:val="99"/>
    <w:semiHidden/>
    <w:rsid w:val="00A46E1F"/>
    <w:rPr>
      <w:rFonts w:ascii="Segoe UI" w:eastAsia="Times New Roman" w:hAnsi="Segoe UI" w:cs="Segoe UI"/>
      <w:sz w:val="18"/>
      <w:szCs w:val="18"/>
      <w:lang w:eastAsia="es-MX"/>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72"/>
    <w:qFormat/>
    <w:rsid w:val="00A46E1F"/>
    <w:pPr>
      <w:ind w:left="720"/>
      <w:contextualSpacing/>
    </w:pPr>
    <w:rPr>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A46E1F"/>
    <w:rPr>
      <w:rFonts w:ascii="Times New Roman" w:eastAsia="Times New Roman" w:hAnsi="Times New Roman" w:cs="Times New Roman"/>
      <w:sz w:val="24"/>
      <w:szCs w:val="24"/>
      <w:lang w:val="es-ES" w:eastAsia="es-ES"/>
    </w:rPr>
  </w:style>
  <w:style w:type="character" w:styleId="Hipervnculo">
    <w:name w:val="Hyperlink"/>
    <w:basedOn w:val="Fuentedeprrafopredeter"/>
    <w:uiPriority w:val="99"/>
    <w:unhideWhenUsed/>
    <w:rsid w:val="00A46E1F"/>
    <w:rPr>
      <w:color w:val="0000FF"/>
      <w:u w:val="single"/>
    </w:rPr>
  </w:style>
  <w:style w:type="character" w:customStyle="1" w:styleId="apple-converted-space">
    <w:name w:val="apple-converted-space"/>
    <w:basedOn w:val="Fuentedeprrafopredeter"/>
    <w:rsid w:val="00A46E1F"/>
  </w:style>
  <w:style w:type="paragraph" w:customStyle="1" w:styleId="Listavistosa-nfasis11">
    <w:name w:val="Lista vistosa - Énfasis 11"/>
    <w:basedOn w:val="Normal"/>
    <w:link w:val="Listavistosa-nfasis1Car"/>
    <w:uiPriority w:val="34"/>
    <w:qFormat/>
    <w:rsid w:val="00A46E1F"/>
    <w:pPr>
      <w:ind w:left="708"/>
    </w:pPr>
    <w:rPr>
      <w:lang w:val="es-ES" w:eastAsia="es-ES"/>
    </w:rPr>
  </w:style>
  <w:style w:type="character" w:customStyle="1" w:styleId="Listavistosa-nfasis1Car">
    <w:name w:val="Lista vistosa - Énfasis 1 Car"/>
    <w:link w:val="Listavistosa-nfasis11"/>
    <w:uiPriority w:val="34"/>
    <w:locked/>
    <w:rsid w:val="00A46E1F"/>
    <w:rPr>
      <w:rFonts w:ascii="Times New Roman" w:eastAsia="Times New Roman" w:hAnsi="Times New Roman" w:cs="Times New Roman"/>
      <w:sz w:val="24"/>
      <w:szCs w:val="24"/>
      <w:lang w:val="es-ES" w:eastAsia="es-ES"/>
    </w:rPr>
  </w:style>
  <w:style w:type="paragraph" w:customStyle="1" w:styleId="Texto">
    <w:name w:val="Texto"/>
    <w:basedOn w:val="Normal"/>
    <w:link w:val="TextoCar"/>
    <w:rsid w:val="00A46E1F"/>
    <w:pPr>
      <w:spacing w:after="101" w:line="216" w:lineRule="exact"/>
      <w:ind w:firstLine="288"/>
      <w:jc w:val="both"/>
    </w:pPr>
    <w:rPr>
      <w:rFonts w:ascii="Arial" w:hAnsi="Arial" w:cs="Arial"/>
      <w:sz w:val="18"/>
      <w:szCs w:val="18"/>
      <w:lang w:eastAsia="es-ES"/>
    </w:rPr>
  </w:style>
  <w:style w:type="character" w:customStyle="1" w:styleId="TextoCar">
    <w:name w:val="Texto Car"/>
    <w:basedOn w:val="Fuentedeprrafopredeter"/>
    <w:link w:val="Texto"/>
    <w:rsid w:val="00A46E1F"/>
    <w:rPr>
      <w:rFonts w:ascii="Arial" w:eastAsia="Times New Roman" w:hAnsi="Arial" w:cs="Arial"/>
      <w:sz w:val="18"/>
      <w:szCs w:val="18"/>
      <w:lang w:eastAsia="es-ES"/>
    </w:rPr>
  </w:style>
  <w:style w:type="paragraph" w:styleId="NormalWeb">
    <w:name w:val="Normal (Web)"/>
    <w:basedOn w:val="Normal"/>
    <w:uiPriority w:val="99"/>
    <w:rsid w:val="00A46E1F"/>
    <w:pPr>
      <w:spacing w:before="100" w:beforeAutospacing="1" w:after="100" w:afterAutospacing="1"/>
    </w:pPr>
    <w:rPr>
      <w:lang w:val="es-ES" w:eastAsia="es-ES"/>
    </w:rPr>
  </w:style>
  <w:style w:type="character" w:customStyle="1" w:styleId="apple-style-span">
    <w:name w:val="apple-style-span"/>
    <w:rsid w:val="00A46E1F"/>
  </w:style>
  <w:style w:type="character" w:styleId="Textoennegrita">
    <w:name w:val="Strong"/>
    <w:uiPriority w:val="22"/>
    <w:qFormat/>
    <w:rsid w:val="00A46E1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A46E1F"/>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A46E1F"/>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rsid w:val="00A46E1F"/>
    <w:rPr>
      <w:vertAlign w:val="superscript"/>
    </w:rPr>
  </w:style>
  <w:style w:type="paragraph" w:styleId="Sinespaciado">
    <w:name w:val="No Spacing"/>
    <w:aliases w:val="Francesa"/>
    <w:link w:val="SinespaciadoCar"/>
    <w:uiPriority w:val="1"/>
    <w:qFormat/>
    <w:rsid w:val="00A46E1F"/>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
    <w:link w:val="Sinespaciado"/>
    <w:uiPriority w:val="1"/>
    <w:locked/>
    <w:rsid w:val="00A46E1F"/>
    <w:rPr>
      <w:rFonts w:ascii="Times New Roman" w:eastAsia="Times New Roman" w:hAnsi="Times New Roman" w:cs="Times New Roman"/>
      <w:sz w:val="24"/>
      <w:szCs w:val="24"/>
      <w:lang w:eastAsia="es-ES"/>
    </w:rPr>
  </w:style>
  <w:style w:type="paragraph" w:styleId="Textoindependiente2">
    <w:name w:val="Body Text 2"/>
    <w:basedOn w:val="Normal"/>
    <w:link w:val="Textoindependiente2Car"/>
    <w:uiPriority w:val="99"/>
    <w:unhideWhenUsed/>
    <w:rsid w:val="00A46E1F"/>
    <w:pPr>
      <w:spacing w:after="120" w:line="480" w:lineRule="auto"/>
    </w:pPr>
    <w:rPr>
      <w:lang w:val="es-ES" w:eastAsia="es-ES"/>
    </w:rPr>
  </w:style>
  <w:style w:type="character" w:customStyle="1" w:styleId="Textoindependiente2Car">
    <w:name w:val="Texto independiente 2 Car"/>
    <w:basedOn w:val="Fuentedeprrafopredeter"/>
    <w:link w:val="Textoindependiente2"/>
    <w:uiPriority w:val="99"/>
    <w:rsid w:val="00A46E1F"/>
    <w:rPr>
      <w:rFonts w:ascii="Times New Roman" w:eastAsia="Times New Roman" w:hAnsi="Times New Roman" w:cs="Times New Roman"/>
      <w:sz w:val="24"/>
      <w:szCs w:val="24"/>
      <w:lang w:val="es-ES" w:eastAsia="es-ES"/>
    </w:rPr>
  </w:style>
  <w:style w:type="paragraph" w:styleId="Textosinformato">
    <w:name w:val="Plain Text"/>
    <w:basedOn w:val="Normal"/>
    <w:link w:val="TextosinformatoCar"/>
    <w:rsid w:val="00A46E1F"/>
    <w:rPr>
      <w:rFonts w:ascii="Courier New" w:hAnsi="Courier New"/>
      <w:sz w:val="20"/>
      <w:szCs w:val="20"/>
      <w:lang w:val="es-ES" w:eastAsia="es-ES"/>
    </w:rPr>
  </w:style>
  <w:style w:type="character" w:customStyle="1" w:styleId="TextosinformatoCar">
    <w:name w:val="Texto sin formato Car"/>
    <w:basedOn w:val="Fuentedeprrafopredeter"/>
    <w:link w:val="Textosinformato"/>
    <w:rsid w:val="00A46E1F"/>
    <w:rPr>
      <w:rFonts w:ascii="Courier New" w:eastAsia="Times New Roman" w:hAnsi="Courier New" w:cs="Times New Roman"/>
      <w:sz w:val="20"/>
      <w:szCs w:val="20"/>
      <w:lang w:val="es-ES" w:eastAsia="es-ES"/>
    </w:rPr>
  </w:style>
  <w:style w:type="paragraph" w:customStyle="1" w:styleId="Standard">
    <w:name w:val="Standard"/>
    <w:rsid w:val="00A46E1F"/>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rPr>
  </w:style>
  <w:style w:type="character" w:customStyle="1" w:styleId="negritas1">
    <w:name w:val="negritas1"/>
    <w:rsid w:val="00A46E1F"/>
    <w:rPr>
      <w:rFonts w:ascii="Arial" w:hAnsi="Arial" w:cs="Arial" w:hint="default"/>
      <w:b/>
      <w:bCs/>
      <w:sz w:val="18"/>
      <w:szCs w:val="18"/>
    </w:rPr>
  </w:style>
  <w:style w:type="paragraph" w:customStyle="1" w:styleId="Pa2">
    <w:name w:val="Pa2"/>
    <w:basedOn w:val="Normal"/>
    <w:next w:val="Normal"/>
    <w:uiPriority w:val="99"/>
    <w:rsid w:val="00A46E1F"/>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A46E1F"/>
    <w:pPr>
      <w:autoSpaceDE w:val="0"/>
      <w:autoSpaceDN w:val="0"/>
      <w:adjustRightInd w:val="0"/>
      <w:spacing w:after="0" w:line="240" w:lineRule="auto"/>
    </w:pPr>
    <w:rPr>
      <w:rFonts w:ascii="Arial" w:hAnsi="Arial" w:cs="Arial"/>
      <w:color w:val="000000"/>
      <w:sz w:val="24"/>
      <w:szCs w:val="24"/>
    </w:rPr>
  </w:style>
  <w:style w:type="character" w:customStyle="1" w:styleId="f">
    <w:name w:val="f"/>
    <w:basedOn w:val="Fuentedeprrafopredeter"/>
    <w:rsid w:val="00A46E1F"/>
  </w:style>
  <w:style w:type="paragraph" w:customStyle="1" w:styleId="q">
    <w:name w:val="q"/>
    <w:basedOn w:val="Normal"/>
    <w:rsid w:val="00A46E1F"/>
    <w:pPr>
      <w:spacing w:before="100" w:beforeAutospacing="1" w:after="100" w:afterAutospacing="1"/>
    </w:pPr>
  </w:style>
  <w:style w:type="character" w:customStyle="1" w:styleId="d">
    <w:name w:val="d"/>
    <w:basedOn w:val="Fuentedeprrafopredeter"/>
    <w:rsid w:val="00A46E1F"/>
  </w:style>
  <w:style w:type="character" w:customStyle="1" w:styleId="b">
    <w:name w:val="b"/>
    <w:basedOn w:val="Fuentedeprrafopredeter"/>
    <w:rsid w:val="00A46E1F"/>
  </w:style>
  <w:style w:type="character" w:customStyle="1" w:styleId="k">
    <w:name w:val="k"/>
    <w:basedOn w:val="Fuentedeprrafopredeter"/>
    <w:rsid w:val="00A46E1F"/>
  </w:style>
  <w:style w:type="character" w:customStyle="1" w:styleId="h">
    <w:name w:val="h"/>
    <w:basedOn w:val="Fuentedeprrafopredeter"/>
    <w:rsid w:val="00A46E1F"/>
  </w:style>
  <w:style w:type="paragraph" w:customStyle="1" w:styleId="RSCGnotaalpie">
    <w:name w:val="RSCG nota al pie"/>
    <w:basedOn w:val="Normal"/>
    <w:uiPriority w:val="99"/>
    <w:qFormat/>
    <w:rsid w:val="00A46E1F"/>
    <w:pPr>
      <w:spacing w:after="120"/>
      <w:jc w:val="both"/>
    </w:pPr>
    <w:rPr>
      <w:rFonts w:ascii="palatino" w:hAnsi="palatino" w:cstheme="minorBidi"/>
      <w:sz w:val="22"/>
      <w:szCs w:val="22"/>
      <w:lang w:eastAsia="en-US"/>
    </w:rPr>
  </w:style>
  <w:style w:type="table" w:styleId="Tablaconcuadrcula">
    <w:name w:val="Table Grid"/>
    <w:basedOn w:val="Tablanormal"/>
    <w:uiPriority w:val="59"/>
    <w:rsid w:val="00A46E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OMANOS">
    <w:name w:val="ROMANOS"/>
    <w:basedOn w:val="Normal"/>
    <w:link w:val="ROMANOSCar"/>
    <w:rsid w:val="00A46E1F"/>
    <w:pPr>
      <w:tabs>
        <w:tab w:val="left" w:pos="720"/>
      </w:tabs>
      <w:spacing w:after="101" w:line="216" w:lineRule="exact"/>
      <w:ind w:left="720" w:hanging="432"/>
      <w:jc w:val="both"/>
    </w:pPr>
    <w:rPr>
      <w:rFonts w:ascii="Arial" w:hAnsi="Arial" w:cs="Arial"/>
      <w:sz w:val="18"/>
      <w:szCs w:val="18"/>
      <w:lang w:val="es-ES" w:eastAsia="es-ES"/>
    </w:rPr>
  </w:style>
  <w:style w:type="character" w:customStyle="1" w:styleId="ROMANOSCar">
    <w:name w:val="ROMANOS Car"/>
    <w:link w:val="ROMANOS"/>
    <w:locked/>
    <w:rsid w:val="00A46E1F"/>
    <w:rPr>
      <w:rFonts w:ascii="Arial" w:eastAsia="Times New Roman" w:hAnsi="Arial" w:cs="Arial"/>
      <w:sz w:val="18"/>
      <w:szCs w:val="18"/>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prensa-de-universitarios-activistas-em.com/2018/08/21/asi-simularon-destinar-millones-al-issemym/" TargetMode="External"/><Relationship Id="rId26" Type="http://schemas.openxmlformats.org/officeDocument/2006/relationships/image" Target="media/image17.png"/><Relationship Id="rId39" Type="http://schemas.openxmlformats.org/officeDocument/2006/relationships/footer" Target="footer1.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hyperlink" Target="https://www.saimex.org.mx/saimex/solicitud/downloadAttach/570530.page"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hyperlink" Target="https://www.saimex.org.mx/saimex/solicitud/downloadAttach/585719.page" TargetMode="External"/><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152</TotalTime>
  <Pages>53</Pages>
  <Words>8410</Words>
  <Characters>46259</Characters>
  <Application>Microsoft Office Word</Application>
  <DocSecurity>0</DocSecurity>
  <Lines>385</Lines>
  <Paragraphs>109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54560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5</cp:revision>
  <cp:lastPrinted>2018-12-18T18:54:00Z</cp:lastPrinted>
  <dcterms:created xsi:type="dcterms:W3CDTF">2018-11-30T01:18:00Z</dcterms:created>
  <dcterms:modified xsi:type="dcterms:W3CDTF">2019-01-21T22:26:00Z</dcterms:modified>
</cp:coreProperties>
</file>